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hint="eastAsia" w:ascii="宋体" w:hAnsi="宋体"/>
          <w:b/>
          <w:sz w:val="30"/>
          <w:szCs w:val="30"/>
        </w:rPr>
      </w:pPr>
    </w:p>
    <w:p w14:paraId="517A579F">
      <w:pPr>
        <w:ind w:right="-110"/>
        <w:rPr>
          <w:rFonts w:hint="eastAsia" w:ascii="宋体" w:hAnsi="宋体"/>
          <w:spacing w:val="40"/>
          <w:sz w:val="52"/>
          <w:szCs w:val="52"/>
        </w:rPr>
      </w:pPr>
    </w:p>
    <w:p w14:paraId="53F2BFF7">
      <w:pPr>
        <w:ind w:right="-110"/>
        <w:jc w:val="center"/>
        <w:rPr>
          <w:rFonts w:hint="eastAsia" w:ascii="黑体" w:hAnsi="黑体" w:eastAsia="黑体"/>
          <w:spacing w:val="40"/>
          <w:sz w:val="72"/>
          <w:szCs w:val="52"/>
          <w:lang w:val="en-US" w:eastAsia="zh-CN"/>
        </w:rPr>
      </w:pPr>
      <w:r>
        <w:rPr>
          <w:rFonts w:hint="eastAsia" w:ascii="黑体" w:hAnsi="黑体" w:eastAsia="黑体"/>
          <w:spacing w:val="40"/>
          <w:sz w:val="72"/>
          <w:szCs w:val="52"/>
        </w:rPr>
        <w:t>医用耗材</w:t>
      </w:r>
      <w:r>
        <w:rPr>
          <w:rFonts w:hint="eastAsia" w:ascii="黑体" w:hAnsi="黑体" w:eastAsia="黑体"/>
          <w:spacing w:val="40"/>
          <w:sz w:val="72"/>
          <w:szCs w:val="52"/>
          <w:lang w:val="en-US" w:eastAsia="zh-CN"/>
        </w:rPr>
        <w:t>竞争性磋商</w:t>
      </w:r>
    </w:p>
    <w:p w14:paraId="4FEB7764">
      <w:pPr>
        <w:ind w:right="-110"/>
        <w:jc w:val="center"/>
        <w:rPr>
          <w:rFonts w:hint="eastAsia" w:ascii="黑体" w:hAnsi="黑体" w:eastAsia="黑体"/>
          <w:spacing w:val="40"/>
          <w:sz w:val="72"/>
          <w:szCs w:val="52"/>
        </w:rPr>
      </w:pPr>
      <w:r>
        <w:rPr>
          <w:rFonts w:hint="eastAsia" w:ascii="黑体" w:hAnsi="黑体" w:eastAsia="黑体"/>
          <w:spacing w:val="40"/>
          <w:sz w:val="72"/>
          <w:szCs w:val="52"/>
        </w:rPr>
        <w:t>文件</w:t>
      </w:r>
    </w:p>
    <w:p w14:paraId="35EF1F82">
      <w:pPr>
        <w:spacing w:before="312" w:beforeLines="100" w:line="240" w:lineRule="atLeast"/>
        <w:ind w:right="-108"/>
        <w:jc w:val="center"/>
        <w:rPr>
          <w:rFonts w:hint="eastAsia" w:ascii="黑体" w:hAnsi="黑体" w:eastAsia="黑体"/>
          <w:sz w:val="32"/>
          <w:szCs w:val="32"/>
        </w:rPr>
      </w:pPr>
    </w:p>
    <w:p w14:paraId="5DBB62B4">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医用耗材及体外诊断试剂一批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w:t>
      </w:r>
      <w:r>
        <w:rPr>
          <w:rFonts w:hint="eastAsia" w:ascii="黑体" w:hAnsi="黑体" w:eastAsia="黑体"/>
          <w:sz w:val="32"/>
          <w:szCs w:val="32"/>
          <w:lang w:val="en-US" w:eastAsia="zh-CN"/>
        </w:rPr>
        <w:t>2026010</w:t>
      </w:r>
    </w:p>
    <w:p w14:paraId="468600B0">
      <w:pPr>
        <w:spacing w:before="312" w:beforeLines="100" w:line="240" w:lineRule="atLeast"/>
        <w:ind w:right="-108"/>
        <w:jc w:val="center"/>
        <w:rPr>
          <w:rFonts w:hint="eastAsia" w:ascii="宋体" w:hAnsi="宋体"/>
          <w:b/>
          <w:sz w:val="36"/>
          <w:szCs w:val="36"/>
        </w:rPr>
      </w:pPr>
    </w:p>
    <w:p w14:paraId="1F56B2B7">
      <w:pPr>
        <w:spacing w:after="100" w:afterAutospacing="1" w:line="800" w:lineRule="exact"/>
        <w:ind w:right="-108"/>
        <w:jc w:val="center"/>
        <w:rPr>
          <w:rFonts w:hint="eastAsia" w:ascii="黑体" w:hAnsi="宋体" w:eastAsia="黑体"/>
          <w:b/>
          <w:spacing w:val="40"/>
          <w:sz w:val="84"/>
          <w:szCs w:val="84"/>
        </w:rPr>
      </w:pPr>
    </w:p>
    <w:p w14:paraId="48C64674">
      <w:pPr>
        <w:spacing w:line="500" w:lineRule="exact"/>
        <w:ind w:right="532"/>
        <w:jc w:val="center"/>
        <w:rPr>
          <w:rFonts w:hint="eastAsia" w:ascii="宋体" w:hAnsi="宋体"/>
          <w:sz w:val="36"/>
          <w:szCs w:val="36"/>
        </w:rPr>
      </w:pPr>
    </w:p>
    <w:p w14:paraId="254505C0">
      <w:pPr>
        <w:spacing w:line="500" w:lineRule="exact"/>
        <w:ind w:right="532"/>
        <w:jc w:val="center"/>
        <w:rPr>
          <w:rFonts w:hint="eastAsia" w:ascii="宋体" w:hAnsi="宋体"/>
          <w:sz w:val="36"/>
          <w:szCs w:val="36"/>
        </w:rPr>
      </w:pPr>
    </w:p>
    <w:p w14:paraId="62F867EF">
      <w:pPr>
        <w:spacing w:line="500" w:lineRule="exact"/>
        <w:ind w:right="532"/>
        <w:jc w:val="center"/>
        <w:rPr>
          <w:rFonts w:hint="eastAsia" w:ascii="宋体" w:hAnsi="宋体"/>
          <w:sz w:val="36"/>
          <w:szCs w:val="36"/>
        </w:rPr>
      </w:pPr>
    </w:p>
    <w:p w14:paraId="6F84C3AE">
      <w:pPr>
        <w:spacing w:line="500" w:lineRule="exact"/>
        <w:ind w:right="532"/>
        <w:jc w:val="center"/>
        <w:rPr>
          <w:rFonts w:hint="eastAsia" w:ascii="宋体" w:hAnsi="宋体"/>
          <w:sz w:val="36"/>
          <w:szCs w:val="36"/>
        </w:rPr>
      </w:pPr>
    </w:p>
    <w:p w14:paraId="6C31BAC9">
      <w:pPr>
        <w:spacing w:line="500" w:lineRule="exact"/>
        <w:ind w:right="532"/>
        <w:jc w:val="center"/>
        <w:rPr>
          <w:rFonts w:hint="eastAsia" w:ascii="宋体" w:hAnsi="宋体"/>
          <w:sz w:val="36"/>
          <w:szCs w:val="36"/>
        </w:rPr>
      </w:pPr>
    </w:p>
    <w:p w14:paraId="5E776AA3">
      <w:pPr>
        <w:spacing w:line="500" w:lineRule="exact"/>
        <w:ind w:right="532"/>
        <w:rPr>
          <w:rFonts w:hint="eastAsia" w:ascii="宋体" w:hAnsi="宋体"/>
          <w:sz w:val="36"/>
          <w:szCs w:val="36"/>
        </w:rPr>
      </w:pPr>
    </w:p>
    <w:p w14:paraId="741FCFDF">
      <w:pPr>
        <w:spacing w:line="500" w:lineRule="exact"/>
        <w:ind w:right="532"/>
        <w:jc w:val="center"/>
        <w:rPr>
          <w:rFonts w:hint="eastAsia"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hint="eastAsia" w:ascii="黑体" w:hAnsi="黑体" w:eastAsia="黑体"/>
          <w:sz w:val="32"/>
          <w:szCs w:val="32"/>
        </w:rPr>
      </w:pPr>
      <w:r>
        <w:rPr>
          <w:rFonts w:hint="eastAsia" w:ascii="黑体" w:hAnsi="黑体" w:eastAsia="黑体"/>
          <w:sz w:val="32"/>
          <w:szCs w:val="32"/>
          <w:lang w:val="en-US" w:eastAsia="zh-CN"/>
        </w:rPr>
        <w:t>2026</w:t>
      </w:r>
      <w:r>
        <w:rPr>
          <w:rFonts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14:paraId="21F8399C">
      <w:pPr>
        <w:spacing w:line="500" w:lineRule="exact"/>
        <w:ind w:right="532"/>
        <w:rPr>
          <w:rFonts w:hint="eastAsia" w:ascii="宋体" w:hAnsi="宋体"/>
          <w:sz w:val="36"/>
          <w:szCs w:val="36"/>
        </w:rPr>
      </w:pPr>
    </w:p>
    <w:p w14:paraId="49AF9C6B">
      <w:pPr>
        <w:spacing w:line="500" w:lineRule="exact"/>
        <w:ind w:right="532"/>
        <w:rPr>
          <w:rFonts w:hint="eastAsia" w:ascii="宋体" w:hAnsi="宋体"/>
          <w:sz w:val="36"/>
          <w:szCs w:val="36"/>
        </w:rPr>
      </w:pPr>
    </w:p>
    <w:p w14:paraId="4B2AA7D9">
      <w:pPr>
        <w:autoSpaceDE w:val="0"/>
        <w:autoSpaceDN w:val="0"/>
        <w:adjustRightInd w:val="0"/>
        <w:spacing w:line="360" w:lineRule="auto"/>
        <w:ind w:firstLine="560" w:firstLineChars="200"/>
        <w:rPr>
          <w:rFonts w:hint="eastAsia"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hint="eastAsia"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hint="eastAsia"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sz w:val="24"/>
        </w:rPr>
        <w:t>项目编号</w:t>
      </w:r>
      <w:r>
        <w:rPr>
          <w:rFonts w:hint="eastAsia" w:ascii="宋体" w:hAnsi="宋体"/>
          <w:sz w:val="24"/>
          <w:lang w:eastAsia="zh-CN"/>
        </w:rPr>
        <w:t>：</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en-US" w:eastAsia="zh-CN"/>
          <w14:textFill>
            <w14:solidFill>
              <w14:schemeClr w14:val="tx1"/>
            </w14:solidFill>
          </w14:textFill>
        </w:rPr>
        <w:t>2026010</w:t>
      </w:r>
    </w:p>
    <w:p w14:paraId="3E9BA69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竞争性磋商</w:t>
      </w:r>
    </w:p>
    <w:p w14:paraId="3939970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2"/>
        <w:tblW w:w="9547"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341"/>
        <w:gridCol w:w="5532"/>
        <w:gridCol w:w="1217"/>
      </w:tblGrid>
      <w:tr w14:paraId="61AE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7" w:type="dxa"/>
            <w:vAlign w:val="center"/>
          </w:tcPr>
          <w:p w14:paraId="0C6D20A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标项号</w:t>
            </w:r>
          </w:p>
        </w:tc>
        <w:tc>
          <w:tcPr>
            <w:tcW w:w="2341" w:type="dxa"/>
            <w:vAlign w:val="center"/>
          </w:tcPr>
          <w:p w14:paraId="0CA9EAB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产品名称</w:t>
            </w:r>
          </w:p>
        </w:tc>
        <w:tc>
          <w:tcPr>
            <w:tcW w:w="5532" w:type="dxa"/>
            <w:vAlign w:val="center"/>
          </w:tcPr>
          <w:p w14:paraId="0ACE69B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产品描述（主要功能）</w:t>
            </w:r>
          </w:p>
        </w:tc>
        <w:tc>
          <w:tcPr>
            <w:tcW w:w="1217" w:type="dxa"/>
            <w:vAlign w:val="center"/>
          </w:tcPr>
          <w:p w14:paraId="6C00EEC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使用科室</w:t>
            </w:r>
          </w:p>
        </w:tc>
      </w:tr>
      <w:tr w14:paraId="220D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0807345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bookmarkStart w:id="1" w:name="_GoBack" w:colFirst="0" w:colLast="3"/>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w:t>
            </w:r>
          </w:p>
        </w:tc>
        <w:tc>
          <w:tcPr>
            <w:tcW w:w="2341" w:type="dxa"/>
            <w:vAlign w:val="center"/>
          </w:tcPr>
          <w:p w14:paraId="6E564E9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一次性使用磁电定位压力监测脉冲电场消融导管</w:t>
            </w:r>
          </w:p>
        </w:tc>
        <w:tc>
          <w:tcPr>
            <w:tcW w:w="5532" w:type="dxa"/>
            <w:vAlign w:val="center"/>
          </w:tcPr>
          <w:p w14:paraId="2B1CFFC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1.与心脏脉冲电场消融仪配合使用，用于治疗药物难治性、复发性、症状性阵发性房颤。</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2.需提供配套设备、配套耗材方案。</w:t>
            </w:r>
          </w:p>
        </w:tc>
        <w:tc>
          <w:tcPr>
            <w:tcW w:w="1217" w:type="dxa"/>
            <w:vAlign w:val="center"/>
          </w:tcPr>
          <w:p w14:paraId="01C1BB3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心内科</w:t>
            </w:r>
          </w:p>
        </w:tc>
      </w:tr>
      <w:tr w14:paraId="04FB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020C605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w:t>
            </w:r>
          </w:p>
        </w:tc>
        <w:tc>
          <w:tcPr>
            <w:tcW w:w="2341" w:type="dxa"/>
            <w:vAlign w:val="center"/>
          </w:tcPr>
          <w:p w14:paraId="047FBDF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经导管主动脉瓣膜系统</w:t>
            </w:r>
          </w:p>
        </w:tc>
        <w:tc>
          <w:tcPr>
            <w:tcW w:w="5532" w:type="dxa"/>
            <w:vAlign w:val="center"/>
          </w:tcPr>
          <w:p w14:paraId="65080D9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1.可回收式、经导管植入的主动脉瓣膜置换系统，由经导管植入的人工心脏瓣膜（主动脉瓣膜）、带有手柄的输送导管系统，及将人工生物瓣膜装入输送导管系统的压缩装载系统组成。</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2.瓣膜输送系统直径最低血管要求5.5 mm。</w:t>
            </w:r>
          </w:p>
        </w:tc>
        <w:tc>
          <w:tcPr>
            <w:tcW w:w="1217" w:type="dxa"/>
            <w:vAlign w:val="center"/>
          </w:tcPr>
          <w:p w14:paraId="5E32778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心内科</w:t>
            </w:r>
          </w:p>
        </w:tc>
      </w:tr>
      <w:tr w14:paraId="5D44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1C9AFC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w:t>
            </w:r>
          </w:p>
        </w:tc>
        <w:tc>
          <w:tcPr>
            <w:tcW w:w="2341" w:type="dxa"/>
            <w:vAlign w:val="center"/>
          </w:tcPr>
          <w:p w14:paraId="596B024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荧光抗体测定试剂盒</w:t>
            </w:r>
          </w:p>
        </w:tc>
        <w:tc>
          <w:tcPr>
            <w:tcW w:w="5532" w:type="dxa"/>
            <w:vAlign w:val="center"/>
          </w:tcPr>
          <w:p w14:paraId="1957156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1.用于定性检测人血清/血浆中的抗胃壁细胞抗体、抗线粒体抗体、抗平滑肌抗体，早期鉴别免疫性肝病与免疫性胃病。</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2.需提供配套质控品或替代方案。</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4AFD4DF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77EA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57408A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w:t>
            </w:r>
          </w:p>
        </w:tc>
        <w:tc>
          <w:tcPr>
            <w:tcW w:w="2341" w:type="dxa"/>
            <w:vAlign w:val="center"/>
          </w:tcPr>
          <w:p w14:paraId="0574A87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抗Jo-1抗体测定试剂盒</w:t>
            </w:r>
          </w:p>
        </w:tc>
        <w:tc>
          <w:tcPr>
            <w:tcW w:w="5532" w:type="dxa"/>
            <w:vAlign w:val="center"/>
          </w:tcPr>
          <w:p w14:paraId="13FEADC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1.用于定性检测人血清/血浆中的抗Jo-1 IgG抗体的含量，主要用于多发性肌炎/皮肌炎（PM/DM）的辅助诊断。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543784E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2BDC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45CC1F9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5</w:t>
            </w:r>
          </w:p>
        </w:tc>
        <w:tc>
          <w:tcPr>
            <w:tcW w:w="2341" w:type="dxa"/>
            <w:vAlign w:val="center"/>
          </w:tcPr>
          <w:p w14:paraId="1AB3AE8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抗RNP抗体测定试剂盒</w:t>
            </w:r>
          </w:p>
        </w:tc>
        <w:tc>
          <w:tcPr>
            <w:tcW w:w="5532" w:type="dxa"/>
            <w:vAlign w:val="center"/>
          </w:tcPr>
          <w:p w14:paraId="0AA3B69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1.用于体外定量测定人血清或血浆中的抗核糖核蛋白70抗体IgG，用于混合性结缔组织病（MCTD）的辅助诊断。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7CD7BC0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68B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3D1D4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6</w:t>
            </w:r>
          </w:p>
        </w:tc>
        <w:tc>
          <w:tcPr>
            <w:tcW w:w="2341" w:type="dxa"/>
            <w:vAlign w:val="center"/>
          </w:tcPr>
          <w:p w14:paraId="3F38087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抗Scl-70抗体测定试剂盒</w:t>
            </w:r>
          </w:p>
        </w:tc>
        <w:tc>
          <w:tcPr>
            <w:tcW w:w="5532" w:type="dxa"/>
            <w:vAlign w:val="center"/>
          </w:tcPr>
          <w:p w14:paraId="3638755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1.用于体外定量测定人血清和（或）血浆中抗 Scl-70（DNA 拓扑异构酶Ⅰ）IgG 抗体的含量，主要用于系统性硬化症（SSc）的辅助诊断。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1A95454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438D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6C6454B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7</w:t>
            </w:r>
          </w:p>
        </w:tc>
        <w:tc>
          <w:tcPr>
            <w:tcW w:w="2341" w:type="dxa"/>
            <w:vAlign w:val="center"/>
          </w:tcPr>
          <w:p w14:paraId="4EB8868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抗Sm抗体测定试剂盒</w:t>
            </w:r>
          </w:p>
        </w:tc>
        <w:tc>
          <w:tcPr>
            <w:tcW w:w="5532" w:type="dxa"/>
            <w:vAlign w:val="center"/>
          </w:tcPr>
          <w:p w14:paraId="6B51384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1.用于体外定量测定人血清和（或）血浆中抗Sm IgG抗体的含量，主要用于系统红斑狼疮的辅助诊断。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397628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49DA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E0E1BE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8</w:t>
            </w:r>
          </w:p>
        </w:tc>
        <w:tc>
          <w:tcPr>
            <w:tcW w:w="2341" w:type="dxa"/>
            <w:vAlign w:val="center"/>
          </w:tcPr>
          <w:p w14:paraId="71D56F4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抗SSA60抗体测定试剂盒</w:t>
            </w:r>
          </w:p>
        </w:tc>
        <w:tc>
          <w:tcPr>
            <w:tcW w:w="5532" w:type="dxa"/>
            <w:vAlign w:val="center"/>
          </w:tcPr>
          <w:p w14:paraId="75892B5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1.用于体外定量测定人血清或血浆中的抗SS-A抗体IgG。</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29DEFB7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30DB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D75681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w:t>
            </w:r>
          </w:p>
        </w:tc>
        <w:tc>
          <w:tcPr>
            <w:tcW w:w="2341" w:type="dxa"/>
            <w:vAlign w:val="center"/>
          </w:tcPr>
          <w:p w14:paraId="120F80E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抗SS-B抗体测定试剂盒</w:t>
            </w:r>
          </w:p>
        </w:tc>
        <w:tc>
          <w:tcPr>
            <w:tcW w:w="5532" w:type="dxa"/>
            <w:vAlign w:val="center"/>
          </w:tcPr>
          <w:p w14:paraId="6C128FB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1.用于体外定量测定人血清和（或）血浆中的抗SS-B IgG抗体的含量，主要用于干燥综合征（SS）、系统性红斑狼疮（SLE）等疾病的辅助诊断。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46726DF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65BC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382E32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10</w:t>
            </w:r>
          </w:p>
        </w:tc>
        <w:tc>
          <w:tcPr>
            <w:tcW w:w="2341" w:type="dxa"/>
            <w:vAlign w:val="center"/>
          </w:tcPr>
          <w:p w14:paraId="136F49C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抗线粒体抗体M2亚型测定试剂盒</w:t>
            </w:r>
          </w:p>
        </w:tc>
        <w:tc>
          <w:tcPr>
            <w:tcW w:w="5532" w:type="dxa"/>
            <w:vAlign w:val="center"/>
          </w:tcPr>
          <w:p w14:paraId="70B6E01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1.用于体外定量测定人血清和（或）血浆中的抗线粒体抗体M2型IgG抗体的含量，主要用于原发性胆汁性肝硬化的辅助诊断。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31DF77D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2E33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F38AF6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11</w:t>
            </w:r>
          </w:p>
        </w:tc>
        <w:tc>
          <w:tcPr>
            <w:tcW w:w="2341" w:type="dxa"/>
            <w:vAlign w:val="center"/>
          </w:tcPr>
          <w:p w14:paraId="38860D4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抗肝肾微粒体抗体测定试剂盒</w:t>
            </w:r>
          </w:p>
        </w:tc>
        <w:tc>
          <w:tcPr>
            <w:tcW w:w="5532" w:type="dxa"/>
            <w:vAlign w:val="center"/>
          </w:tcPr>
          <w:p w14:paraId="12E6F83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1.用于体外定量测定人血清和（或）血浆中抗肝/肾微粒体1型IgG抗体（LKM-1 IgG）的含量，主要用于辅助诊断II型自身免疫性肝炎。</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353414B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56C4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6108CA6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12</w:t>
            </w:r>
          </w:p>
        </w:tc>
        <w:tc>
          <w:tcPr>
            <w:tcW w:w="2341" w:type="dxa"/>
            <w:vAlign w:val="center"/>
          </w:tcPr>
          <w:p w14:paraId="5C80497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抗突变型瓜氨酸波形蛋白（MCV）抗体检测试剂盒</w:t>
            </w:r>
          </w:p>
        </w:tc>
        <w:tc>
          <w:tcPr>
            <w:tcW w:w="5532" w:type="dxa"/>
            <w:vAlign w:val="center"/>
          </w:tcPr>
          <w:p w14:paraId="38B01DF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1.用于体外定量检测人血清、血浆样本中抗突变型瓜氨酸波形蛋白（MCV）抗体的浓度，用于风湿性疾病的辅助诊断。</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p>
        </w:tc>
        <w:tc>
          <w:tcPr>
            <w:tcW w:w="1217" w:type="dxa"/>
            <w:vAlign w:val="center"/>
          </w:tcPr>
          <w:p w14:paraId="7D0DAFE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1FAD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2E08C0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13</w:t>
            </w:r>
          </w:p>
        </w:tc>
        <w:tc>
          <w:tcPr>
            <w:tcW w:w="2341" w:type="dxa"/>
            <w:vAlign w:val="center"/>
          </w:tcPr>
          <w:p w14:paraId="33F62F8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血管性血友病因子抗原检测试剂盒</w:t>
            </w:r>
          </w:p>
        </w:tc>
        <w:tc>
          <w:tcPr>
            <w:tcW w:w="5532" w:type="dxa"/>
            <w:vAlign w:val="center"/>
          </w:tcPr>
          <w:p w14:paraId="5E0E51A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1.用于体外对血浆中血管性血友病因子抗原(VWF：Ag)的定量检测。</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4.试剂/配套设备须在国家卫健委室间质评对应项目中具备独立分组。</w:t>
            </w:r>
          </w:p>
        </w:tc>
        <w:tc>
          <w:tcPr>
            <w:tcW w:w="1217" w:type="dxa"/>
            <w:vAlign w:val="center"/>
          </w:tcPr>
          <w:p w14:paraId="46D103D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tr w14:paraId="5E17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E3F472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14</w:t>
            </w:r>
          </w:p>
        </w:tc>
        <w:tc>
          <w:tcPr>
            <w:tcW w:w="2341" w:type="dxa"/>
            <w:vAlign w:val="center"/>
          </w:tcPr>
          <w:p w14:paraId="7E89579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纤维蛋白（原）降解产物检测试剂盒</w:t>
            </w:r>
          </w:p>
        </w:tc>
        <w:tc>
          <w:tcPr>
            <w:tcW w:w="5532" w:type="dxa"/>
            <w:vAlign w:val="center"/>
          </w:tcPr>
          <w:p w14:paraId="32DCB15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1.用于体外定量检测纤维蛋白/纤维蛋白原降解产物。</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2.需提供质控品和校准品</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3.需提供配套设备方案，要求设备自动化程度高、配套齐全。</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4.试剂/配套设备须在国家卫健委室间质评对应项目中具备独立分组。</w:t>
            </w:r>
          </w:p>
        </w:tc>
        <w:tc>
          <w:tcPr>
            <w:tcW w:w="1217" w:type="dxa"/>
            <w:vAlign w:val="center"/>
          </w:tcPr>
          <w:p w14:paraId="3E4D542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医学检验中心</w:t>
            </w:r>
          </w:p>
        </w:tc>
      </w:tr>
      <w:bookmarkEnd w:id="1"/>
    </w:tbl>
    <w:p w14:paraId="7B2E0409">
      <w:pPr>
        <w:spacing w:line="360" w:lineRule="auto"/>
        <w:rPr>
          <w:rFonts w:hint="eastAsia" w:ascii="宋体" w:hAnsi="宋体"/>
          <w:color w:val="000000" w:themeColor="text1"/>
          <w:sz w:val="24"/>
          <w14:textFill>
            <w14:solidFill>
              <w14:schemeClr w14:val="tx1"/>
            </w14:solidFill>
          </w14:textFill>
        </w:rPr>
      </w:pPr>
    </w:p>
    <w:p w14:paraId="69923D71">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7"/>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11</w:t>
      </w:r>
      <w:r>
        <w:rPr>
          <w:rFonts w:hint="eastAsia" w:ascii="宋体" w:hAnsi="宋体"/>
          <w:bCs/>
          <w:color w:val="0000FF"/>
          <w:sz w:val="24"/>
        </w:rPr>
        <w:t>月</w:t>
      </w:r>
      <w:r>
        <w:rPr>
          <w:rFonts w:hint="eastAsia" w:ascii="宋体" w:hAnsi="宋体"/>
          <w:bCs/>
          <w:color w:val="0000FF"/>
          <w:sz w:val="24"/>
          <w:lang w:val="en-US" w:eastAsia="zh-CN"/>
        </w:rPr>
        <w:t>11</w:t>
      </w:r>
      <w:r>
        <w:rPr>
          <w:rFonts w:hint="eastAsia" w:ascii="宋体" w:hAnsi="宋体"/>
          <w:bCs/>
          <w:color w:val="0000FF"/>
          <w:sz w:val="24"/>
        </w:rPr>
        <w:t xml:space="preserve">日 </w:t>
      </w:r>
      <w:r>
        <w:rPr>
          <w:rFonts w:ascii="宋体" w:hAnsi="宋体"/>
          <w:bCs/>
          <w:color w:val="0000FF"/>
          <w:sz w:val="24"/>
        </w:rPr>
        <w:t>17:00前</w:t>
      </w:r>
    </w:p>
    <w:p w14:paraId="5C075671">
      <w:pPr>
        <w:pStyle w:val="17"/>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4楼东南角采购中心</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7"/>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w:t>
      </w:r>
      <w:r>
        <w:rPr>
          <w:rFonts w:hint="eastAsia"/>
          <w:sz w:val="24"/>
          <w:szCs w:val="24"/>
          <w:lang w:val="en-US" w:eastAsia="zh-CN"/>
        </w:rPr>
        <w:t>和《体外诊断试剂性能参数收集表》</w:t>
      </w:r>
      <w:r>
        <w:rPr>
          <w:rFonts w:hint="eastAsia"/>
          <w:sz w:val="24"/>
          <w:szCs w:val="24"/>
        </w:rPr>
        <w:t>电子版（非扫描版）发</w:t>
      </w:r>
      <w:r>
        <w:rPr>
          <w:rFonts w:hint="eastAsia"/>
          <w:sz w:val="24"/>
          <w:szCs w:val="24"/>
          <w:lang w:eastAsia="zh-CN"/>
        </w:rPr>
        <w:t>至</w:t>
      </w:r>
      <w:r>
        <w:rPr>
          <w:rFonts w:hint="eastAsia"/>
          <w:sz w:val="24"/>
          <w:szCs w:val="24"/>
        </w:rPr>
        <w:t>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7"/>
        <w:tabs>
          <w:tab w:val="left" w:pos="480"/>
        </w:tabs>
        <w:spacing w:line="360" w:lineRule="auto"/>
        <w:ind w:left="480" w:firstLine="0" w:firstLineChars="0"/>
        <w:rPr>
          <w:rFonts w:hint="eastAsia"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hint="eastAsia" w:ascii="宋体" w:hAnsi="宋体"/>
          <w:sz w:val="24"/>
        </w:rPr>
      </w:pPr>
      <w:r>
        <w:rPr>
          <w:rFonts w:hint="eastAsia" w:ascii="宋体" w:hAnsi="宋体"/>
          <w:sz w:val="24"/>
        </w:rPr>
        <w:t>联系地址和电话</w:t>
      </w:r>
    </w:p>
    <w:p w14:paraId="0DAD9F30">
      <w:pPr>
        <w:spacing w:line="360" w:lineRule="auto"/>
        <w:ind w:left="480"/>
        <w:rPr>
          <w:rFonts w:hint="eastAsia" w:ascii="宋体" w:hAnsi="宋体"/>
          <w:sz w:val="24"/>
        </w:rPr>
      </w:pPr>
      <w:r>
        <w:rPr>
          <w:rFonts w:hint="eastAsia" w:ascii="宋体" w:hAnsi="宋体"/>
          <w:sz w:val="24"/>
        </w:rPr>
        <w:t>地址：</w:t>
      </w:r>
      <w:r>
        <w:rPr>
          <w:rFonts w:hint="eastAsia"/>
          <w:sz w:val="24"/>
          <w:szCs w:val="24"/>
        </w:rPr>
        <w:t>杭州市西湖区古墩路1229号浙江医院三墩院区教学楼4楼东南角采购中心</w:t>
      </w:r>
      <w:r>
        <w:rPr>
          <w:rFonts w:ascii="宋体" w:hAnsi="宋体"/>
          <w:sz w:val="24"/>
        </w:rPr>
        <w:t xml:space="preserve"> </w:t>
      </w:r>
    </w:p>
    <w:p w14:paraId="1549141B">
      <w:pPr>
        <w:spacing w:line="360" w:lineRule="auto"/>
        <w:ind w:left="480"/>
        <w:rPr>
          <w:rFonts w:hint="eastAsia" w:ascii="宋体" w:hAnsi="宋体"/>
          <w:sz w:val="24"/>
        </w:rPr>
      </w:pPr>
      <w:r>
        <w:rPr>
          <w:rFonts w:hint="eastAsia" w:ascii="宋体" w:hAnsi="宋体"/>
          <w:sz w:val="24"/>
        </w:rPr>
        <w:t>联系人：褚老师、胡老师</w:t>
      </w:r>
    </w:p>
    <w:p w14:paraId="2E45806B">
      <w:pPr>
        <w:spacing w:line="360" w:lineRule="auto"/>
        <w:ind w:left="480"/>
        <w:rPr>
          <w:rFonts w:hint="eastAsia"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hint="eastAsia" w:ascii="宋体" w:hAnsi="宋体"/>
          <w:sz w:val="24"/>
        </w:rPr>
      </w:pPr>
      <w:r>
        <w:rPr>
          <w:rFonts w:ascii="宋体" w:hAnsi="宋体"/>
          <w:sz w:val="24"/>
        </w:rPr>
        <w:br w:type="page"/>
      </w:r>
    </w:p>
    <w:p w14:paraId="7484967B">
      <w:pPr>
        <w:adjustRightInd w:val="0"/>
        <w:snapToGrid w:val="0"/>
        <w:spacing w:line="360" w:lineRule="auto"/>
        <w:ind w:right="480"/>
        <w:jc w:val="center"/>
        <w:rPr>
          <w:rFonts w:hint="eastAsia" w:ascii="宋体" w:hAnsi="宋体" w:cs="宋体"/>
          <w:b/>
          <w:snapToGrid w:val="0"/>
          <w:kern w:val="0"/>
          <w:sz w:val="32"/>
          <w:szCs w:val="20"/>
        </w:rPr>
      </w:pPr>
      <w:r>
        <w:rPr>
          <w:rFonts w:ascii="宋体" w:hAnsi="宋体" w:cs="宋体"/>
          <w:b/>
          <w:snapToGrid w:val="0"/>
          <w:kern w:val="0"/>
          <w:sz w:val="32"/>
          <w:szCs w:val="20"/>
        </w:rPr>
        <w:t>前附表</w:t>
      </w:r>
    </w:p>
    <w:tbl>
      <w:tblPr>
        <w:tblStyle w:val="1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8"/>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8"/>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8"/>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8"/>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8"/>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8"/>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77417B09">
            <w:pPr>
              <w:pStyle w:val="28"/>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8"/>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8"/>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8"/>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8"/>
              <w:snapToGrid w:val="0"/>
              <w:spacing w:line="276" w:lineRule="auto"/>
              <w:ind w:firstLine="0" w:firstLineChars="0"/>
              <w:rPr>
                <w:rFonts w:ascii="Times New Roman" w:hAnsi="Times New Roman"/>
                <w:sz w:val="24"/>
              </w:rPr>
            </w:pPr>
            <w:r>
              <w:rPr>
                <w:rFonts w:hint="eastAsia" w:ascii="Times New Roman" w:hAnsi="Times New Roman"/>
                <w:sz w:val="24"/>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8"/>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8"/>
              <w:snapToGrid w:val="0"/>
              <w:spacing w:line="276" w:lineRule="auto"/>
              <w:ind w:firstLine="0" w:firstLineChars="0"/>
              <w:rPr>
                <w:rFonts w:hint="eastAsia" w:ascii="Times New Roman" w:hAnsi="Times New Roman" w:eastAsiaTheme="minorEastAsia"/>
                <w:sz w:val="24"/>
                <w:u w:val="single"/>
                <w:lang w:eastAsia="zh-CN"/>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r>
              <w:rPr>
                <w:rFonts w:hint="eastAsia" w:ascii="Times New Roman" w:hAnsi="Times New Roman"/>
                <w:sz w:val="24"/>
                <w:lang w:eastAsia="zh-CN"/>
              </w:rPr>
              <w:t>。不同类型产品独立制作响应文件。</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8"/>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8"/>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8"/>
              <w:snapToGrid w:val="0"/>
              <w:spacing w:line="276" w:lineRule="auto"/>
              <w:ind w:firstLine="0" w:firstLineChars="0"/>
              <w:rPr>
                <w:rFonts w:hint="eastAsia" w:ascii="Times New Roman" w:hAnsi="Times New Roman" w:eastAsiaTheme="minorEastAsia"/>
                <w:sz w:val="24"/>
                <w:lang w:eastAsia="zh-CN"/>
              </w:rPr>
            </w:pPr>
            <w:r>
              <w:rPr>
                <w:rFonts w:ascii="Times New Roman" w:hAnsi="Times New Roman"/>
                <w:sz w:val="24"/>
              </w:rPr>
              <w:t>采购响应文件按“采购响应文件格式”中提供的格式签署、盖章</w:t>
            </w:r>
            <w:r>
              <w:rPr>
                <w:rFonts w:hint="eastAsia" w:ascii="Times New Roman" w:hAnsi="Times New Roman"/>
                <w:sz w:val="24"/>
                <w:lang w:eastAsia="zh-CN"/>
              </w:rPr>
              <w:t>。</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8"/>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8"/>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8"/>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8"/>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8"/>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hint="eastAsia" w:ascii="宋体" w:hAnsi="宋体"/>
          <w:sz w:val="24"/>
        </w:rPr>
      </w:pPr>
    </w:p>
    <w:p w14:paraId="725F7BDE">
      <w:pPr>
        <w:pStyle w:val="17"/>
        <w:widowControl/>
        <w:snapToGrid w:val="0"/>
        <w:ind w:left="420" w:firstLine="0" w:firstLineChars="0"/>
        <w:jc w:val="left"/>
        <w:rPr>
          <w:rFonts w:hint="eastAsia" w:ascii="宋体" w:hAnsi="宋体"/>
          <w:color w:val="000000"/>
          <w:sz w:val="24"/>
          <w:szCs w:val="24"/>
        </w:rPr>
      </w:pPr>
    </w:p>
    <w:p w14:paraId="535CB2EE">
      <w:pPr>
        <w:widowControl/>
        <w:jc w:val="left"/>
        <w:rPr>
          <w:rFonts w:hint="eastAsia"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hint="eastAsia" w:ascii="宋体" w:hAnsi="宋体"/>
          <w:b/>
          <w:color w:val="000000"/>
          <w:sz w:val="32"/>
          <w:szCs w:val="32"/>
          <w:highlight w:val="none"/>
        </w:rPr>
      </w:pPr>
      <w:r>
        <w:rPr>
          <w:rFonts w:hint="eastAsia" w:ascii="宋体" w:hAnsi="宋体"/>
          <w:b/>
          <w:color w:val="000000"/>
          <w:sz w:val="32"/>
          <w:szCs w:val="32"/>
          <w:highlight w:val="none"/>
        </w:rPr>
        <w:t>第二章 投标单位资格要求</w:t>
      </w:r>
    </w:p>
    <w:p w14:paraId="4C501F74">
      <w:pPr>
        <w:numPr>
          <w:ilvl w:val="0"/>
          <w:numId w:val="2"/>
        </w:numPr>
        <w:tabs>
          <w:tab w:val="left" w:pos="540"/>
          <w:tab w:val="clear" w:pos="420"/>
        </w:tabs>
        <w:spacing w:line="360" w:lineRule="auto"/>
        <w:ind w:left="540" w:hanging="540"/>
        <w:rPr>
          <w:rFonts w:hint="eastAsia" w:ascii="宋体" w:hAnsi="宋体"/>
          <w:sz w:val="24"/>
          <w:highlight w:val="none"/>
        </w:rPr>
      </w:pPr>
      <w:r>
        <w:rPr>
          <w:rFonts w:hint="eastAsia" w:ascii="宋体" w:hAnsi="宋体"/>
          <w:sz w:val="24"/>
          <w:highlight w:val="none"/>
        </w:rPr>
        <w:t>投标单位必须提供企业的营业执照和食品药品监督管理部门颁发的医疗器械经营或生产企业许可证，以及医疗器械产品注册证。</w:t>
      </w:r>
    </w:p>
    <w:p w14:paraId="57C04FAF">
      <w:pPr>
        <w:numPr>
          <w:ilvl w:val="0"/>
          <w:numId w:val="2"/>
        </w:numPr>
        <w:tabs>
          <w:tab w:val="left" w:pos="540"/>
          <w:tab w:val="clear" w:pos="420"/>
        </w:tabs>
        <w:spacing w:line="360" w:lineRule="auto"/>
        <w:ind w:left="540" w:hanging="540"/>
        <w:rPr>
          <w:rFonts w:hint="eastAsia" w:ascii="宋体" w:hAnsi="宋体" w:eastAsia="宋体"/>
          <w:sz w:val="24"/>
          <w:highlight w:val="none"/>
        </w:rPr>
      </w:pPr>
      <w:r>
        <w:rPr>
          <w:rFonts w:hint="eastAsia" w:ascii="宋体" w:hAnsi="宋体" w:eastAsia="宋体"/>
          <w:sz w:val="24"/>
          <w:highlight w:val="none"/>
          <w:lang w:eastAsia="zh-CN"/>
        </w:rPr>
        <w:t>投标单位应具备各级代理授权书，包括但不限于国内生产企业、进口产品的国内总代理商或唯一指定代理商、浙江省级代理商及区域代理商</w:t>
      </w:r>
      <w:r>
        <w:rPr>
          <w:rFonts w:hint="eastAsia" w:ascii="宋体" w:hAnsi="宋体" w:eastAsia="宋体"/>
          <w:sz w:val="24"/>
          <w:highlight w:val="none"/>
          <w:lang w:val="en-US" w:eastAsia="zh-CN"/>
        </w:rPr>
        <w:t>出具的授权文件。若投标单位为生产企业，则无需提供前述授权书。</w:t>
      </w:r>
    </w:p>
    <w:p w14:paraId="12D9C974">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投标单位所有证照均</w:t>
      </w:r>
      <w:r>
        <w:rPr>
          <w:rFonts w:hint="eastAsia" w:ascii="宋体" w:hAnsi="宋体"/>
          <w:sz w:val="24"/>
          <w:highlight w:val="none"/>
          <w:lang w:eastAsia="zh-CN"/>
        </w:rPr>
        <w:t>须</w:t>
      </w:r>
      <w:r>
        <w:rPr>
          <w:rFonts w:hint="eastAsia" w:ascii="宋体" w:hAnsi="宋体"/>
          <w:sz w:val="24"/>
          <w:highlight w:val="none"/>
        </w:rPr>
        <w:t>齐全、在评标期内有效</w:t>
      </w:r>
      <w:r>
        <w:rPr>
          <w:rFonts w:hint="eastAsia" w:ascii="宋体" w:hAnsi="宋体"/>
          <w:sz w:val="24"/>
          <w:highlight w:val="none"/>
          <w:lang w:eastAsia="zh-CN"/>
        </w:rPr>
        <w:t>且</w:t>
      </w:r>
      <w:r>
        <w:rPr>
          <w:rFonts w:hint="eastAsia" w:ascii="宋体" w:hAnsi="宋体"/>
          <w:sz w:val="24"/>
          <w:highlight w:val="none"/>
        </w:rPr>
        <w:t>无超范围经营现象。</w:t>
      </w:r>
    </w:p>
    <w:p w14:paraId="076665E1">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投标单位商业信誉良好，</w:t>
      </w:r>
      <w:r>
        <w:rPr>
          <w:sz w:val="24"/>
          <w:highlight w:val="none"/>
        </w:rPr>
        <w:t>在招标采购活动前</w:t>
      </w:r>
      <w:r>
        <w:rPr>
          <w:rFonts w:hint="eastAsia"/>
          <w:sz w:val="24"/>
          <w:highlight w:val="none"/>
        </w:rPr>
        <w:t>三</w:t>
      </w:r>
      <w:r>
        <w:rPr>
          <w:sz w:val="24"/>
          <w:highlight w:val="none"/>
        </w:rPr>
        <w:t>年内经营活动</w:t>
      </w:r>
      <w:r>
        <w:rPr>
          <w:rFonts w:hint="eastAsia" w:ascii="宋体" w:hAnsi="宋体"/>
          <w:sz w:val="24"/>
          <w:highlight w:val="none"/>
        </w:rPr>
        <w:t>无不良记录信息。</w:t>
      </w:r>
    </w:p>
    <w:p w14:paraId="022B8EE8">
      <w:pPr>
        <w:numPr>
          <w:ilvl w:val="0"/>
          <w:numId w:val="2"/>
        </w:numPr>
        <w:tabs>
          <w:tab w:val="left" w:pos="540"/>
        </w:tabs>
        <w:spacing w:line="360" w:lineRule="auto"/>
        <w:rPr>
          <w:rFonts w:hint="eastAsia" w:ascii="宋体" w:hAnsi="宋体"/>
          <w:sz w:val="24"/>
          <w:highlight w:val="none"/>
        </w:rPr>
      </w:pPr>
      <w:r>
        <w:rPr>
          <w:rFonts w:hint="eastAsia" w:ascii="Times New Roman" w:hAnsi="Times New Roman"/>
          <w:sz w:val="24"/>
          <w:highlight w:val="none"/>
        </w:rPr>
        <w:t>投标</w:t>
      </w:r>
      <w:r>
        <w:rPr>
          <w:rFonts w:ascii="Times New Roman" w:hAnsi="Times New Roman"/>
          <w:sz w:val="24"/>
          <w:highlight w:val="none"/>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hint="eastAsia"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hint="eastAsia" w:ascii="宋体" w:hAnsi="宋体"/>
          <w:sz w:val="24"/>
        </w:rPr>
      </w:pPr>
      <w:r>
        <w:rPr>
          <w:rFonts w:hint="eastAsia" w:ascii="宋体" w:hAnsi="宋体"/>
          <w:sz w:val="24"/>
        </w:rPr>
        <w:t>投标单位</w:t>
      </w:r>
      <w:r>
        <w:rPr>
          <w:rFonts w:hint="eastAsia" w:ascii="宋体" w:hAnsi="宋体"/>
          <w:sz w:val="24"/>
          <w:lang w:eastAsia="zh-CN"/>
        </w:rPr>
        <w:t>须</w:t>
      </w:r>
      <w:r>
        <w:rPr>
          <w:rFonts w:hint="eastAsia" w:ascii="宋体" w:hAnsi="宋体"/>
          <w:sz w:val="24"/>
        </w:rPr>
        <w:t>具有响应产品对应的两定机构医疗保障信息平台配送资质。</w:t>
      </w:r>
    </w:p>
    <w:p w14:paraId="2D6BA562">
      <w:pPr>
        <w:widowControl/>
        <w:jc w:val="left"/>
        <w:rPr>
          <w:rFonts w:hint="eastAsia"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hint="eastAsia"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hint="eastAsia" w:ascii="宋体" w:hAnsi="宋体"/>
          <w:color w:val="000000"/>
          <w:sz w:val="24"/>
        </w:rPr>
      </w:pPr>
      <w:r>
        <w:rPr>
          <w:rFonts w:hint="eastAsia" w:ascii="宋体" w:hAnsi="宋体"/>
          <w:color w:val="000000"/>
          <w:sz w:val="24"/>
        </w:rPr>
        <w:t>投标产品必须有医疗器械注册证或备案证，并符合注册管理规范要求。</w:t>
      </w:r>
      <w:r>
        <w:rPr>
          <w:rFonts w:hint="eastAsia" w:ascii="宋体" w:hAnsi="宋体"/>
          <w:color w:val="000000"/>
          <w:sz w:val="24"/>
          <w:lang w:val="en-US" w:eastAsia="zh-CN"/>
        </w:rPr>
        <w:t>如投标产品不属于医疗器械管理，需提供相应说明。</w:t>
      </w:r>
    </w:p>
    <w:p w14:paraId="3E7D8E88">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如有配套设备，</w:t>
      </w:r>
      <w:r>
        <w:rPr>
          <w:rFonts w:ascii="宋体" w:hAnsi="宋体"/>
          <w:color w:val="000000"/>
          <w:sz w:val="24"/>
        </w:rPr>
        <w:t>配套设备要求</w:t>
      </w:r>
    </w:p>
    <w:p w14:paraId="6376EAD6">
      <w:pPr>
        <w:tabs>
          <w:tab w:val="left" w:pos="540"/>
        </w:tabs>
        <w:spacing w:line="360" w:lineRule="auto"/>
        <w:ind w:left="540"/>
        <w:rPr>
          <w:rFonts w:hint="eastAsia"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hint="eastAsia"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hint="eastAsia"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hint="eastAsia"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hint="eastAsia"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hint="eastAsia"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hint="eastAsia"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hint="eastAsia"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hint="eastAsia" w:ascii="宋体" w:hAnsi="宋体"/>
          <w:color w:val="000000"/>
          <w:sz w:val="24"/>
        </w:rPr>
      </w:pPr>
    </w:p>
    <w:p w14:paraId="34462FAA">
      <w:pPr>
        <w:spacing w:line="360" w:lineRule="auto"/>
        <w:ind w:left="474"/>
        <w:jc w:val="left"/>
        <w:rPr>
          <w:rFonts w:hint="eastAsia" w:ascii="宋体" w:hAnsi="宋体"/>
          <w:b/>
          <w:sz w:val="32"/>
          <w:szCs w:val="32"/>
        </w:rPr>
      </w:pPr>
    </w:p>
    <w:p w14:paraId="1335C54A">
      <w:pPr>
        <w:widowControl/>
        <w:jc w:val="left"/>
        <w:rPr>
          <w:rFonts w:hint="eastAsia" w:ascii="宋体" w:hAnsi="宋体"/>
          <w:b/>
          <w:sz w:val="32"/>
          <w:szCs w:val="32"/>
        </w:rPr>
      </w:pPr>
    </w:p>
    <w:p w14:paraId="4CF8FE8C">
      <w:pPr>
        <w:widowControl/>
        <w:jc w:val="left"/>
        <w:rPr>
          <w:rFonts w:hint="eastAsia" w:ascii="宋体" w:hAnsi="宋体"/>
          <w:b/>
          <w:sz w:val="32"/>
          <w:szCs w:val="32"/>
        </w:rPr>
      </w:pPr>
      <w:r>
        <w:rPr>
          <w:rFonts w:ascii="宋体" w:hAnsi="宋体"/>
          <w:b/>
          <w:sz w:val="32"/>
          <w:szCs w:val="32"/>
        </w:rPr>
        <w:br w:type="page"/>
      </w:r>
    </w:p>
    <w:p w14:paraId="20F48D6C">
      <w:pPr>
        <w:spacing w:line="360" w:lineRule="auto"/>
        <w:ind w:left="474"/>
        <w:jc w:val="center"/>
        <w:rPr>
          <w:rFonts w:hint="eastAsia"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hint="eastAsia"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hint="eastAsia" w:ascii="宋体" w:hAnsi="宋体"/>
          <w:color w:val="000000"/>
          <w:sz w:val="24"/>
        </w:rPr>
      </w:pPr>
      <w:r>
        <w:rPr>
          <w:rFonts w:hint="eastAsia" w:ascii="宋体" w:hAnsi="宋体"/>
          <w:color w:val="000000"/>
          <w:sz w:val="24"/>
        </w:rPr>
        <w:t>对于已经在我院供货的产品，投标价不得高于现供货价。</w:t>
      </w:r>
    </w:p>
    <w:p w14:paraId="3776BFA4">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投标单位如违反上述条款，将被取消谈判资格或终止合同（协议）。</w:t>
      </w:r>
    </w:p>
    <w:p w14:paraId="1662A268">
      <w:pPr>
        <w:pStyle w:val="17"/>
        <w:widowControl/>
        <w:snapToGrid w:val="0"/>
        <w:ind w:left="420" w:firstLine="0" w:firstLineChars="0"/>
        <w:jc w:val="left"/>
        <w:rPr>
          <w:rFonts w:hint="eastAsia" w:ascii="宋体" w:hAnsi="宋体"/>
          <w:color w:val="000000"/>
          <w:sz w:val="24"/>
          <w:szCs w:val="24"/>
        </w:rPr>
      </w:pPr>
    </w:p>
    <w:p w14:paraId="0BFBAAF3">
      <w:pPr>
        <w:widowControl/>
        <w:jc w:val="left"/>
        <w:rPr>
          <w:rFonts w:hint="eastAsia" w:ascii="宋体" w:hAnsi="宋体"/>
          <w:color w:val="000000"/>
          <w:sz w:val="24"/>
          <w:szCs w:val="24"/>
        </w:rPr>
      </w:pPr>
      <w:r>
        <w:rPr>
          <w:rFonts w:ascii="宋体" w:hAnsi="宋体"/>
          <w:color w:val="000000"/>
          <w:sz w:val="24"/>
          <w:szCs w:val="24"/>
        </w:rPr>
        <w:br w:type="page"/>
      </w:r>
    </w:p>
    <w:p w14:paraId="5A088673">
      <w:pPr>
        <w:numPr>
          <w:ilvl w:val="0"/>
          <w:numId w:val="4"/>
        </w:numPr>
        <w:spacing w:line="360" w:lineRule="auto"/>
        <w:ind w:firstLine="2731" w:firstLineChars="850"/>
        <w:rPr>
          <w:rFonts w:hint="eastAsia" w:ascii="宋体" w:hAnsi="宋体"/>
          <w:b/>
          <w:sz w:val="32"/>
          <w:szCs w:val="32"/>
        </w:rPr>
      </w:pPr>
      <w:r>
        <w:rPr>
          <w:rFonts w:hint="eastAsia" w:ascii="宋体" w:hAnsi="宋体"/>
          <w:b/>
          <w:sz w:val="32"/>
          <w:szCs w:val="32"/>
        </w:rPr>
        <w:t>评审标准</w:t>
      </w:r>
    </w:p>
    <w:p w14:paraId="1BF109C8">
      <w:pPr>
        <w:pStyle w:val="7"/>
        <w:widowControl w:val="0"/>
        <w:numPr>
          <w:ilvl w:val="0"/>
          <w:numId w:val="5"/>
        </w:numPr>
        <w:adjustRightInd w:val="0"/>
        <w:snapToGrid w:val="0"/>
        <w:spacing w:line="360" w:lineRule="auto"/>
        <w:ind w:firstLineChars="200"/>
        <w:rPr>
          <w:rFonts w:ascii="Times New Roman"/>
          <w:szCs w:val="24"/>
        </w:rPr>
      </w:pPr>
      <w:r>
        <w:rPr>
          <w:rFonts w:ascii="Times New Roman"/>
          <w:szCs w:val="24"/>
        </w:rPr>
        <w:t>本项目采用综合评分法，总分100分，其中价格评分</w:t>
      </w:r>
      <w:r>
        <w:rPr>
          <w:rFonts w:hint="eastAsia" w:ascii="Times New Roman"/>
          <w:szCs w:val="24"/>
          <w:lang w:val="en-US" w:eastAsia="zh-CN"/>
        </w:rPr>
        <w:t>30</w:t>
      </w:r>
      <w:r>
        <w:rPr>
          <w:rFonts w:ascii="Times New Roman"/>
          <w:szCs w:val="24"/>
        </w:rPr>
        <w:t>分，技术商务评分</w:t>
      </w:r>
      <w:r>
        <w:rPr>
          <w:rFonts w:hint="eastAsia" w:ascii="Times New Roman"/>
          <w:szCs w:val="24"/>
          <w:lang w:val="en-US" w:eastAsia="zh-CN"/>
        </w:rPr>
        <w:t>70</w:t>
      </w:r>
      <w:r>
        <w:rPr>
          <w:rFonts w:ascii="Times New Roman"/>
          <w:szCs w:val="24"/>
        </w:rPr>
        <w:t>分。评标小组根据本评审办法进行评审，对各供应商的价格、技术、商务等评分因素在分值范围内进行各自打分。每个供应商最终得分=价格得分+商务技术得分。</w:t>
      </w:r>
    </w:p>
    <w:p w14:paraId="7F930C91">
      <w:pPr>
        <w:pStyle w:val="7"/>
        <w:widowControl w:val="0"/>
        <w:numPr>
          <w:ilvl w:val="0"/>
          <w:numId w:val="5"/>
        </w:numPr>
        <w:adjustRightInd w:val="0"/>
        <w:snapToGrid w:val="0"/>
        <w:spacing w:line="360" w:lineRule="auto"/>
        <w:ind w:firstLineChars="200"/>
        <w:rPr>
          <w:rFonts w:ascii="Times New Roman"/>
          <w:szCs w:val="24"/>
        </w:rPr>
      </w:pPr>
      <w:r>
        <w:rPr>
          <w:rFonts w:ascii="Times New Roman"/>
          <w:szCs w:val="24"/>
        </w:rPr>
        <w:t>评审时，评标小组各成员应当独立对每个有效响应的文件进行评价、打分，然后汇总每个供应商每项评分因素的得分。</w:t>
      </w:r>
    </w:p>
    <w:p w14:paraId="46995FCB">
      <w:pPr>
        <w:pStyle w:val="7"/>
        <w:numPr>
          <w:ilvl w:val="0"/>
          <w:numId w:val="5"/>
        </w:numPr>
        <w:adjustRightInd w:val="0"/>
        <w:snapToGrid w:val="0"/>
        <w:spacing w:after="0" w:line="360" w:lineRule="auto"/>
        <w:ind w:left="420" w:leftChars="200" w:firstLine="440" w:firstLineChars="200"/>
        <w:rPr>
          <w:rFonts w:hint="eastAsia" w:ascii="宋体" w:hAnsi="宋体"/>
          <w:b/>
          <w:szCs w:val="21"/>
        </w:rPr>
      </w:pPr>
      <w:r>
        <w:rPr>
          <w:rFonts w:hint="eastAsia" w:ascii="宋体" w:hAnsi="宋体" w:cs="宋体"/>
          <w:color w:val="000000"/>
          <w:kern w:val="0"/>
          <w:sz w:val="22"/>
        </w:rPr>
        <w:t>按综合评分得分排序由高至低推荐拟中标供应商</w:t>
      </w:r>
      <w:r>
        <w:rPr>
          <w:rFonts w:hint="eastAsia" w:ascii="宋体" w:hAnsi="宋体" w:cs="宋体"/>
          <w:color w:val="000000"/>
          <w:kern w:val="0"/>
          <w:sz w:val="22"/>
          <w:lang w:eastAsia="zh-CN"/>
        </w:rPr>
        <w:t>，</w:t>
      </w:r>
      <w:r>
        <w:rPr>
          <w:rFonts w:hint="eastAsia" w:ascii="宋体" w:hAnsi="宋体" w:cs="宋体"/>
          <w:color w:val="000000"/>
          <w:kern w:val="0"/>
          <w:sz w:val="22"/>
          <w:lang w:val="en-US" w:eastAsia="zh-CN"/>
        </w:rPr>
        <w:t>原则上不超过2家</w:t>
      </w:r>
      <w:r>
        <w:rPr>
          <w:rFonts w:ascii="Times New Roman"/>
          <w:szCs w:val="24"/>
        </w:rPr>
        <w:t>。得分相同的，按价格由低到高顺序排列。</w:t>
      </w:r>
    </w:p>
    <w:p w14:paraId="5267046A">
      <w:pPr>
        <w:pStyle w:val="7"/>
        <w:numPr>
          <w:ilvl w:val="0"/>
          <w:numId w:val="5"/>
        </w:numPr>
        <w:adjustRightInd w:val="0"/>
        <w:snapToGrid w:val="0"/>
        <w:spacing w:after="0" w:line="360" w:lineRule="auto"/>
        <w:ind w:left="420" w:leftChars="200" w:firstLine="420" w:firstLineChars="200"/>
        <w:rPr>
          <w:rFonts w:hint="eastAsia" w:ascii="宋体" w:hAnsi="宋体"/>
          <w:b/>
          <w:szCs w:val="21"/>
        </w:rPr>
      </w:pPr>
      <w:r>
        <w:rPr>
          <w:rFonts w:hint="eastAsia" w:ascii="Times New Roman"/>
          <w:szCs w:val="24"/>
          <w:lang w:val="en-US" w:eastAsia="zh-CN"/>
        </w:rPr>
        <w:t>评审因素及分值范围</w:t>
      </w:r>
    </w:p>
    <w:p w14:paraId="535C45F1">
      <w:pPr>
        <w:pStyle w:val="7"/>
        <w:numPr>
          <w:ilvl w:val="0"/>
          <w:numId w:val="0"/>
        </w:numPr>
        <w:adjustRightInd w:val="0"/>
        <w:snapToGrid w:val="0"/>
        <w:spacing w:after="0" w:line="360" w:lineRule="auto"/>
        <w:ind w:leftChars="400"/>
        <w:rPr>
          <w:rFonts w:hint="eastAsia" w:ascii="宋体" w:hAnsi="宋体"/>
          <w:b w:val="0"/>
          <w:bCs w:val="0"/>
          <w:szCs w:val="21"/>
        </w:rPr>
      </w:pPr>
      <w:r>
        <w:rPr>
          <w:rFonts w:hint="eastAsia" w:ascii="Times New Roman"/>
          <w:b w:val="0"/>
          <w:bCs w:val="0"/>
          <w:szCs w:val="24"/>
          <w:lang w:val="en-US" w:eastAsia="zh-CN"/>
        </w:rPr>
        <w:t>①</w:t>
      </w:r>
      <w:r>
        <w:rPr>
          <w:rFonts w:ascii="宋体" w:hAnsi="宋体"/>
          <w:b w:val="0"/>
          <w:bCs w:val="0"/>
          <w:szCs w:val="21"/>
        </w:rPr>
        <w:t>商务技术分（</w:t>
      </w:r>
      <w:r>
        <w:rPr>
          <w:rFonts w:hint="eastAsia" w:ascii="宋体" w:hAnsi="宋体"/>
          <w:b w:val="0"/>
          <w:bCs w:val="0"/>
          <w:szCs w:val="21"/>
        </w:rPr>
        <w:t>7</w:t>
      </w:r>
      <w:r>
        <w:rPr>
          <w:rFonts w:ascii="宋体" w:hAnsi="宋体"/>
          <w:b w:val="0"/>
          <w:bCs w:val="0"/>
          <w:szCs w:val="21"/>
        </w:rPr>
        <w:t>0分）</w:t>
      </w:r>
    </w:p>
    <w:tbl>
      <w:tblPr>
        <w:tblStyle w:val="12"/>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vAlign w:val="center"/>
          </w:tcPr>
          <w:p w14:paraId="0746B438">
            <w:pPr>
              <w:widowControl/>
              <w:jc w:val="center"/>
              <w:rPr>
                <w:rFonts w:hint="eastAsia"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vAlign w:val="center"/>
          </w:tcPr>
          <w:p w14:paraId="3467BE0B">
            <w:pPr>
              <w:widowControl/>
              <w:jc w:val="center"/>
              <w:rPr>
                <w:rFonts w:hint="eastAsia"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90" w:hRule="atLeast"/>
        </w:trPr>
        <w:tc>
          <w:tcPr>
            <w:tcW w:w="718" w:type="dxa"/>
            <w:tcBorders>
              <w:top w:val="nil"/>
              <w:left w:val="single" w:color="auto" w:sz="4" w:space="0"/>
              <w:bottom w:val="single" w:color="auto" w:sz="4" w:space="0"/>
              <w:right w:val="single" w:color="auto" w:sz="4" w:space="0"/>
            </w:tcBorders>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vAlign w:val="center"/>
          </w:tcPr>
          <w:p w14:paraId="42614963">
            <w:pPr>
              <w:jc w:val="center"/>
              <w:rPr>
                <w:rFonts w:hint="eastAsia"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vAlign w:val="center"/>
          </w:tcPr>
          <w:p w14:paraId="40A3CEAD">
            <w:pPr>
              <w:jc w:val="center"/>
              <w:rPr>
                <w:rFonts w:hint="eastAsia"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vAlign w:val="center"/>
          </w:tcPr>
          <w:p w14:paraId="09E1299B">
            <w:pPr>
              <w:jc w:val="center"/>
              <w:rPr>
                <w:rFonts w:hint="eastAsia"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vAlign w:val="center"/>
          </w:tcPr>
          <w:p w14:paraId="203D3D2E">
            <w:pPr>
              <w:jc w:val="left"/>
              <w:rPr>
                <w:color w:val="000000"/>
                <w:sz w:val="22"/>
              </w:rPr>
            </w:pPr>
            <w:r>
              <w:rPr>
                <w:rFonts w:hint="eastAsia"/>
                <w:color w:val="000000"/>
                <w:sz w:val="22"/>
              </w:rPr>
              <w:t>供货时间≤24小时得5分；供货时间 24小时</w:t>
            </w:r>
            <w:r>
              <w:rPr>
                <w:rFonts w:hint="eastAsia"/>
                <w:color w:val="000000"/>
                <w:sz w:val="22"/>
                <w:lang w:eastAsia="zh-CN"/>
              </w:rPr>
              <w:t>—</w:t>
            </w:r>
            <w:r>
              <w:rPr>
                <w:rFonts w:hint="eastAsia"/>
                <w:color w:val="000000"/>
                <w:sz w:val="22"/>
              </w:rPr>
              <w:t>48小时得3分；供货时间＞48小时得1分。</w:t>
            </w:r>
          </w:p>
        </w:tc>
        <w:tc>
          <w:tcPr>
            <w:tcW w:w="888" w:type="dxa"/>
            <w:tcBorders>
              <w:top w:val="nil"/>
              <w:left w:val="nil"/>
              <w:bottom w:val="single" w:color="auto" w:sz="4" w:space="0"/>
              <w:right w:val="single" w:color="auto" w:sz="4" w:space="0"/>
            </w:tcBorders>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noWrap/>
            <w:vAlign w:val="center"/>
          </w:tcPr>
          <w:p w14:paraId="5D153098">
            <w:pPr>
              <w:jc w:val="center"/>
              <w:rPr>
                <w:rFonts w:hint="eastAsia"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vAlign w:val="center"/>
          </w:tcPr>
          <w:p w14:paraId="773E3AA4">
            <w:pPr>
              <w:jc w:val="center"/>
              <w:rPr>
                <w:rFonts w:hint="eastAsia"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vAlign w:val="center"/>
          </w:tcPr>
          <w:p w14:paraId="21EB79F9">
            <w:pPr>
              <w:jc w:val="center"/>
              <w:rPr>
                <w:rFonts w:hint="eastAsia"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vAlign w:val="center"/>
          </w:tcPr>
          <w:p w14:paraId="2CBFFDB8">
            <w:pPr>
              <w:jc w:val="left"/>
              <w:rPr>
                <w:color w:val="000000"/>
                <w:szCs w:val="21"/>
              </w:rPr>
            </w:pPr>
            <w:r>
              <w:rPr>
                <w:rFonts w:hint="eastAsia"/>
                <w:color w:val="000000"/>
                <w:szCs w:val="21"/>
              </w:rPr>
              <w:t>提供</w:t>
            </w:r>
            <w:r>
              <w:rPr>
                <w:rFonts w:hint="eastAsia"/>
                <w:color w:val="000000"/>
                <w:szCs w:val="21"/>
                <w:lang w:val="en-US" w:eastAsia="zh-CN"/>
              </w:rPr>
              <w:t>近三年</w:t>
            </w:r>
            <w:r>
              <w:rPr>
                <w:rFonts w:hint="eastAsia"/>
                <w:color w:val="000000"/>
                <w:szCs w:val="21"/>
              </w:rPr>
              <w:t>在省内医院的销售业绩，每提供一</w:t>
            </w:r>
            <w:r>
              <w:rPr>
                <w:rFonts w:hint="eastAsia"/>
                <w:color w:val="000000"/>
                <w:szCs w:val="21"/>
                <w:lang w:eastAsia="zh-CN"/>
              </w:rPr>
              <w:t>张</w:t>
            </w:r>
            <w:r>
              <w:rPr>
                <w:rFonts w:hint="eastAsia"/>
                <w:color w:val="000000"/>
                <w:szCs w:val="21"/>
              </w:rPr>
              <w:t>发票得1分，最高得5分</w:t>
            </w:r>
          </w:p>
        </w:tc>
        <w:tc>
          <w:tcPr>
            <w:tcW w:w="888" w:type="dxa"/>
            <w:tcBorders>
              <w:top w:val="nil"/>
              <w:left w:val="nil"/>
              <w:bottom w:val="single" w:color="auto" w:sz="4" w:space="0"/>
              <w:right w:val="single" w:color="auto" w:sz="4" w:space="0"/>
            </w:tcBorders>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vAlign w:val="center"/>
          </w:tcPr>
          <w:p w14:paraId="5A9E9942">
            <w:pPr>
              <w:jc w:val="center"/>
              <w:rPr>
                <w:rFonts w:hint="eastAsia"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vAlign w:val="center"/>
          </w:tcPr>
          <w:p w14:paraId="268B6C68">
            <w:pPr>
              <w:jc w:val="left"/>
              <w:rPr>
                <w:color w:val="000000"/>
                <w:sz w:val="22"/>
              </w:rPr>
            </w:pPr>
            <w:r>
              <w:rPr>
                <w:rFonts w:hint="eastAsia"/>
                <w:color w:val="000000"/>
                <w:sz w:val="22"/>
              </w:rPr>
              <w:t>产品种类规格与临床使用的适用性能充分满足临床使用要求得16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产品种类规格与临床使用的适用性能基本临床使用要求得分6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产品种类规格与临床使用的适用性只能部分满足临床使用要求得1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vAlign w:val="center"/>
          </w:tcPr>
          <w:p w14:paraId="78BC9841">
            <w:pPr>
              <w:jc w:val="center"/>
              <w:rPr>
                <w:rFonts w:hint="eastAsia"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vAlign w:val="center"/>
          </w:tcPr>
          <w:p w14:paraId="6613C7B3">
            <w:pPr>
              <w:jc w:val="left"/>
              <w:rPr>
                <w:color w:val="000000"/>
                <w:sz w:val="22"/>
              </w:rPr>
            </w:pPr>
            <w:r>
              <w:rPr>
                <w:rFonts w:hint="eastAsia"/>
                <w:color w:val="000000"/>
                <w:sz w:val="22"/>
              </w:rPr>
              <w:t>产品技术性能领先，充分满足临床使用要求得16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产品技术性能先进，满足临床使用要求得6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产品技术性能一般，基本满足临床使用要求得1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682B78E6">
      <w:pPr>
        <w:widowControl/>
        <w:numPr>
          <w:ilvl w:val="0"/>
          <w:numId w:val="0"/>
        </w:numPr>
        <w:ind w:leftChars="0"/>
        <w:jc w:val="left"/>
        <w:rPr>
          <w:rFonts w:ascii="宋体" w:hAnsi="宋体"/>
          <w:b/>
          <w:szCs w:val="21"/>
          <w:highlight w:val="none"/>
        </w:rPr>
      </w:pPr>
    </w:p>
    <w:p w14:paraId="2E481E9A">
      <w:pPr>
        <w:pStyle w:val="7"/>
        <w:numPr>
          <w:ilvl w:val="0"/>
          <w:numId w:val="0"/>
        </w:numPr>
        <w:adjustRightInd w:val="0"/>
        <w:snapToGrid w:val="0"/>
        <w:spacing w:after="0" w:line="360" w:lineRule="auto"/>
        <w:ind w:leftChars="400"/>
        <w:rPr>
          <w:rFonts w:hint="eastAsia" w:ascii="Times New Roman"/>
          <w:b w:val="0"/>
          <w:bCs w:val="0"/>
          <w:szCs w:val="24"/>
          <w:lang w:val="en-US" w:eastAsia="zh-CN"/>
        </w:rPr>
      </w:pPr>
      <w:r>
        <w:rPr>
          <w:rFonts w:hint="eastAsia" w:ascii="Times New Roman"/>
          <w:b w:val="0"/>
          <w:bCs w:val="0"/>
          <w:szCs w:val="24"/>
          <w:lang w:val="en-US" w:eastAsia="zh-CN"/>
        </w:rPr>
        <w:t>②价格分（30分）</w:t>
      </w:r>
    </w:p>
    <w:p w14:paraId="3EBA2BD9">
      <w:pPr>
        <w:keepNext w:val="0"/>
        <w:keepLines w:val="0"/>
        <w:pageBreakBefore w:val="0"/>
        <w:widowControl w:val="0"/>
        <w:kinsoku/>
        <w:wordWrap/>
        <w:overflowPunct/>
        <w:topLinePunct w:val="0"/>
        <w:autoSpaceDE/>
        <w:autoSpaceDN/>
        <w:bidi w:val="0"/>
        <w:adjustRightInd/>
        <w:snapToGrid/>
        <w:spacing w:before="156" w:beforeLines="50" w:line="276" w:lineRule="auto"/>
        <w:ind w:left="-51" w:firstLine="420" w:firstLineChars="200"/>
        <w:textAlignment w:val="auto"/>
        <w:rPr>
          <w:rFonts w:ascii="Times New Roman" w:hAnsi="Times New Roman"/>
          <w:highlight w:val="none"/>
        </w:rPr>
      </w:pPr>
      <w:r>
        <w:rPr>
          <w:rFonts w:hint="eastAsia" w:ascii="Times New Roman" w:hAnsi="Times New Roman"/>
          <w:highlight w:val="none"/>
        </w:rPr>
        <w:t>所有有效报价的算术平均值为基准价（如某供应商同一标段有多个不同规格型号的报价，取所有不同报价的算术平均值为该供应商有效报价）。各供应商的报价与基准价对比，计算得分值：</w:t>
      </w:r>
    </w:p>
    <w:p w14:paraId="55D1EFBA">
      <w:pPr>
        <w:pStyle w:val="17"/>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7"/>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7"/>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7"/>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4F6847A8">
      <w:pPr>
        <w:widowControl/>
        <w:jc w:val="left"/>
        <w:rPr>
          <w:rFonts w:hint="eastAsia" w:ascii="宋体" w:hAnsi="宋体"/>
          <w:b/>
          <w:sz w:val="32"/>
          <w:szCs w:val="32"/>
        </w:rPr>
      </w:pPr>
      <w:r>
        <w:rPr>
          <w:rFonts w:ascii="宋体" w:hAnsi="宋体"/>
          <w:b/>
          <w:sz w:val="32"/>
          <w:szCs w:val="32"/>
        </w:rPr>
        <w:br w:type="page"/>
      </w:r>
    </w:p>
    <w:p w14:paraId="27232DEA">
      <w:pPr>
        <w:numPr>
          <w:ilvl w:val="0"/>
          <w:numId w:val="7"/>
        </w:numPr>
        <w:spacing w:line="360" w:lineRule="auto"/>
        <w:ind w:firstLine="2731" w:firstLineChars="850"/>
        <w:rPr>
          <w:rFonts w:hint="eastAsia" w:ascii="宋体" w:hAnsi="宋体"/>
          <w:b/>
          <w:sz w:val="32"/>
          <w:szCs w:val="32"/>
          <w:lang w:val="en-US" w:eastAsia="zh-CN"/>
        </w:rPr>
      </w:pPr>
      <w:r>
        <w:rPr>
          <w:rFonts w:hint="eastAsia" w:ascii="宋体" w:hAnsi="宋体"/>
          <w:b/>
          <w:sz w:val="32"/>
          <w:szCs w:val="32"/>
          <w:lang w:val="en-US" w:eastAsia="zh-CN"/>
        </w:rPr>
        <w:t>合同模板</w:t>
      </w:r>
    </w:p>
    <w:p w14:paraId="4836C0E0">
      <w:pPr>
        <w:spacing w:line="500" w:lineRule="exact"/>
        <w:jc w:val="center"/>
        <w:rPr>
          <w:rFonts w:hint="eastAsia" w:ascii="宋体" w:hAnsi="宋体"/>
          <w:b/>
          <w:bCs/>
          <w:sz w:val="36"/>
          <w:szCs w:val="36"/>
        </w:rPr>
      </w:pPr>
      <w:r>
        <w:rPr>
          <w:rFonts w:hint="eastAsia" w:ascii="宋体" w:hAnsi="宋体"/>
          <w:b/>
          <w:bCs/>
          <w:sz w:val="36"/>
          <w:szCs w:val="36"/>
        </w:rPr>
        <w:t>浙江医院医用耗材</w:t>
      </w:r>
      <w:r>
        <w:rPr>
          <w:rFonts w:hint="eastAsia" w:ascii="宋体" w:hAnsi="宋体"/>
          <w:b/>
          <w:bCs/>
          <w:sz w:val="36"/>
          <w:szCs w:val="36"/>
          <w:lang w:val="en-US" w:eastAsia="zh-CN"/>
        </w:rPr>
        <w:t>/试剂</w:t>
      </w:r>
      <w:r>
        <w:rPr>
          <w:rFonts w:hint="eastAsia" w:ascii="宋体" w:hAnsi="宋体"/>
          <w:b/>
          <w:bCs/>
          <w:sz w:val="36"/>
          <w:szCs w:val="36"/>
        </w:rPr>
        <w:t>供货合同</w:t>
      </w:r>
    </w:p>
    <w:p w14:paraId="1F7C0AA1">
      <w:pPr>
        <w:spacing w:line="500" w:lineRule="exact"/>
        <w:jc w:val="center"/>
        <w:rPr>
          <w:rFonts w:ascii="宋体" w:hAnsi="宋体"/>
          <w:b/>
          <w:bCs/>
          <w:sz w:val="36"/>
          <w:szCs w:val="36"/>
        </w:rPr>
      </w:pPr>
    </w:p>
    <w:p w14:paraId="093DA871">
      <w:pPr>
        <w:spacing w:line="480" w:lineRule="auto"/>
        <w:ind w:firstLine="4840" w:firstLineChars="2009"/>
        <w:jc w:val="left"/>
        <w:rPr>
          <w:rFonts w:hint="eastAsia" w:ascii="宋体" w:hAnsi="宋体"/>
          <w:b/>
          <w:sz w:val="24"/>
        </w:rPr>
      </w:pPr>
    </w:p>
    <w:p w14:paraId="7751A844">
      <w:pPr>
        <w:spacing w:line="480" w:lineRule="auto"/>
        <w:ind w:left="723" w:hanging="723" w:hangingChars="300"/>
        <w:jc w:val="left"/>
        <w:rPr>
          <w:rFonts w:ascii="宋体" w:hAnsi="宋体"/>
          <w:b/>
          <w:sz w:val="24"/>
        </w:rPr>
      </w:pPr>
      <w:r>
        <w:rPr>
          <w:rFonts w:hint="eastAsia" w:ascii="宋体" w:hAnsi="宋体"/>
          <w:b/>
          <w:sz w:val="24"/>
        </w:rPr>
        <w:t>甲  方：（买方）浙江医院</w:t>
      </w:r>
    </w:p>
    <w:p w14:paraId="4F2BB4FE">
      <w:pPr>
        <w:spacing w:line="360" w:lineRule="auto"/>
        <w:jc w:val="left"/>
        <w:rPr>
          <w:rFonts w:ascii="宋体" w:hAnsi="宋体"/>
          <w:b/>
          <w:sz w:val="24"/>
          <w:u w:val="single"/>
        </w:rPr>
      </w:pPr>
      <w:r>
        <w:rPr>
          <w:rFonts w:hint="eastAsia" w:ascii="宋体" w:hAnsi="宋体"/>
          <w:b/>
          <w:sz w:val="24"/>
        </w:rPr>
        <w:t>乙  方：（卖方）</w:t>
      </w:r>
      <w:r>
        <w:rPr>
          <w:rFonts w:hint="eastAsia" w:ascii="宋体" w:hAnsi="宋体"/>
          <w:b/>
          <w:sz w:val="24"/>
          <w:u w:val="single"/>
        </w:rPr>
        <w:t xml:space="preserve">                     </w:t>
      </w:r>
    </w:p>
    <w:p w14:paraId="637ABBCC">
      <w:pPr>
        <w:jc w:val="left"/>
        <w:rPr>
          <w:rFonts w:ascii="宋体" w:hAnsi="宋体"/>
          <w:b/>
          <w:sz w:val="24"/>
        </w:rPr>
      </w:pPr>
    </w:p>
    <w:p w14:paraId="6B1A4C9D">
      <w:pPr>
        <w:spacing w:line="460" w:lineRule="exact"/>
        <w:ind w:firstLine="480" w:firstLineChars="200"/>
        <w:jc w:val="left"/>
        <w:rPr>
          <w:rFonts w:ascii="宋体" w:hAnsi="宋体"/>
          <w:bCs/>
          <w:sz w:val="24"/>
        </w:rPr>
      </w:pPr>
      <w:r>
        <w:rPr>
          <w:rFonts w:hint="eastAsia" w:ascii="宋体" w:hAnsi="宋体"/>
          <w:bCs/>
          <w:sz w:val="24"/>
        </w:rPr>
        <w:t>甲乙双方在平等互利、协商一致的基础上，签署本合同。</w:t>
      </w:r>
    </w:p>
    <w:p w14:paraId="1FCB2D52">
      <w:pPr>
        <w:ind w:firstLine="480" w:firstLineChars="200"/>
        <w:jc w:val="left"/>
        <w:rPr>
          <w:rFonts w:hint="eastAsia" w:ascii="宋体" w:hAnsi="宋体"/>
          <w:bCs/>
          <w:sz w:val="24"/>
        </w:rPr>
      </w:pPr>
    </w:p>
    <w:p w14:paraId="5007271B">
      <w:pPr>
        <w:numPr>
          <w:ilvl w:val="0"/>
          <w:numId w:val="8"/>
        </w:numPr>
        <w:spacing w:line="360" w:lineRule="auto"/>
        <w:jc w:val="left"/>
        <w:rPr>
          <w:rFonts w:ascii="宋体" w:hAnsi="宋体"/>
          <w:b/>
          <w:sz w:val="24"/>
        </w:rPr>
      </w:pPr>
      <w:r>
        <w:rPr>
          <w:rFonts w:hint="eastAsia" w:ascii="宋体" w:hAnsi="宋体"/>
          <w:b/>
          <w:sz w:val="24"/>
        </w:rPr>
        <w:t>供货内容</w:t>
      </w:r>
    </w:p>
    <w:p w14:paraId="0848A3F7">
      <w:pPr>
        <w:spacing w:line="360" w:lineRule="auto"/>
        <w:ind w:firstLine="480" w:firstLineChars="200"/>
        <w:jc w:val="left"/>
        <w:rPr>
          <w:rFonts w:hint="eastAsia" w:ascii="宋体" w:hAnsi="宋体"/>
          <w:bCs/>
          <w:sz w:val="24"/>
        </w:rPr>
      </w:pPr>
      <w:r>
        <w:rPr>
          <w:rFonts w:hint="eastAsia" w:ascii="宋体" w:hAnsi="宋体"/>
          <w:bCs/>
          <w:sz w:val="24"/>
        </w:rPr>
        <w:t>浙江省耗材政府集中采购中标目录内经甲方遴选入围，或经甲方议价入围的医用耗材</w:t>
      </w:r>
      <w:r>
        <w:rPr>
          <w:rFonts w:hint="eastAsia" w:ascii="宋体" w:hAnsi="宋体"/>
          <w:bCs/>
          <w:sz w:val="24"/>
          <w:lang w:val="en-US" w:eastAsia="zh-CN"/>
        </w:rPr>
        <w:t>/试剂</w:t>
      </w:r>
      <w:r>
        <w:rPr>
          <w:rFonts w:hint="eastAsia" w:ascii="宋体" w:hAnsi="宋体"/>
          <w:bCs/>
          <w:sz w:val="24"/>
        </w:rPr>
        <w:t>。实际供货的医用耗材</w:t>
      </w:r>
      <w:r>
        <w:rPr>
          <w:rFonts w:hint="eastAsia" w:ascii="宋体" w:hAnsi="宋体"/>
          <w:bCs/>
          <w:sz w:val="24"/>
          <w:lang w:val="en-US" w:eastAsia="zh-CN"/>
        </w:rPr>
        <w:t>/试剂</w:t>
      </w:r>
      <w:r>
        <w:rPr>
          <w:rFonts w:hint="eastAsia" w:ascii="宋体" w:hAnsi="宋体"/>
          <w:bCs/>
          <w:sz w:val="24"/>
        </w:rPr>
        <w:t>，其品牌、型号及规格等信息应与甲方遴选入围或议价入围的品目一致。详见附件。</w:t>
      </w:r>
    </w:p>
    <w:p w14:paraId="41276B45">
      <w:pPr>
        <w:numPr>
          <w:ilvl w:val="0"/>
          <w:numId w:val="8"/>
        </w:numPr>
        <w:spacing w:line="460" w:lineRule="exact"/>
        <w:jc w:val="left"/>
        <w:rPr>
          <w:rFonts w:ascii="宋体" w:hAnsi="宋体"/>
          <w:b/>
          <w:sz w:val="24"/>
        </w:rPr>
      </w:pPr>
      <w:r>
        <w:rPr>
          <w:rFonts w:hint="eastAsia" w:ascii="宋体" w:hAnsi="宋体"/>
          <w:b/>
          <w:sz w:val="24"/>
        </w:rPr>
        <w:t>供货期限</w:t>
      </w:r>
    </w:p>
    <w:p w14:paraId="1413350D">
      <w:pPr>
        <w:adjustRightInd w:val="0"/>
        <w:snapToGrid w:val="0"/>
        <w:spacing w:line="460" w:lineRule="exact"/>
        <w:ind w:firstLine="480" w:firstLineChars="200"/>
        <w:jc w:val="left"/>
        <w:rPr>
          <w:rFonts w:hint="eastAsia" w:ascii="宋体" w:hAnsi="宋体"/>
          <w:bCs/>
          <w:sz w:val="24"/>
        </w:rPr>
      </w:pPr>
      <w:r>
        <w:rPr>
          <w:rFonts w:hint="eastAsia" w:ascii="宋体" w:hAnsi="宋体"/>
          <w:bCs/>
          <w:sz w:val="24"/>
        </w:rPr>
        <w:t>自甲方组织遴选或议价，从合同签订之日起</w:t>
      </w:r>
      <w:r>
        <w:rPr>
          <w:rFonts w:hint="eastAsia" w:ascii="宋体" w:hAnsi="宋体"/>
          <w:bCs/>
          <w:sz w:val="24"/>
          <w:u w:val="single"/>
        </w:rPr>
        <w:t xml:space="preserve"> </w:t>
      </w:r>
      <w:r>
        <w:rPr>
          <w:rFonts w:ascii="宋体" w:hAnsi="宋体"/>
          <w:bCs/>
          <w:sz w:val="24"/>
          <w:u w:val="single"/>
        </w:rPr>
        <w:t>3</w:t>
      </w:r>
      <w:r>
        <w:rPr>
          <w:rFonts w:hint="eastAsia" w:ascii="宋体" w:hAnsi="宋体"/>
          <w:bCs/>
          <w:sz w:val="24"/>
          <w:u w:val="single"/>
        </w:rPr>
        <w:t xml:space="preserve"> </w:t>
      </w:r>
      <w:r>
        <w:rPr>
          <w:rFonts w:hint="eastAsia" w:ascii="宋体" w:hAnsi="宋体"/>
          <w:bCs/>
          <w:sz w:val="24"/>
        </w:rPr>
        <w:t>年或该项目下次遴选或议价结束签订合同之日。</w:t>
      </w:r>
    </w:p>
    <w:p w14:paraId="69C3693C">
      <w:pPr>
        <w:numPr>
          <w:ilvl w:val="0"/>
          <w:numId w:val="8"/>
        </w:numPr>
        <w:spacing w:line="460" w:lineRule="exact"/>
        <w:jc w:val="left"/>
        <w:rPr>
          <w:rFonts w:ascii="宋体" w:hAnsi="宋体"/>
          <w:b/>
          <w:sz w:val="24"/>
        </w:rPr>
      </w:pPr>
      <w:r>
        <w:rPr>
          <w:rFonts w:hint="eastAsia" w:ascii="宋体" w:hAnsi="宋体"/>
          <w:b/>
          <w:sz w:val="24"/>
        </w:rPr>
        <w:t>交货期、交货方式及交货地点</w:t>
      </w:r>
    </w:p>
    <w:p w14:paraId="09B7EAAC">
      <w:pPr>
        <w:spacing w:line="460" w:lineRule="exact"/>
        <w:ind w:firstLine="480" w:firstLineChars="200"/>
        <w:jc w:val="left"/>
        <w:rPr>
          <w:rFonts w:ascii="宋体" w:hAnsi="宋体"/>
          <w:bCs/>
          <w:sz w:val="24"/>
        </w:rPr>
      </w:pPr>
      <w:r>
        <w:rPr>
          <w:rFonts w:hint="eastAsia" w:ascii="宋体" w:hAnsi="宋体"/>
          <w:sz w:val="24"/>
          <w:lang w:eastAsia="zh-CN"/>
        </w:rPr>
        <w:t>1.</w:t>
      </w:r>
      <w:r>
        <w:rPr>
          <w:rFonts w:hint="eastAsia" w:ascii="宋体" w:hAnsi="宋体"/>
          <w:sz w:val="24"/>
        </w:rPr>
        <w:t>交货期：在接到甲方订单通知后，</w:t>
      </w:r>
      <w:r>
        <w:rPr>
          <w:rFonts w:hint="eastAsia" w:ascii="宋体" w:hAnsi="宋体"/>
          <w:b/>
          <w:sz w:val="24"/>
          <w:u w:val="single"/>
        </w:rPr>
        <w:t xml:space="preserve"> </w:t>
      </w:r>
      <w:r>
        <w:rPr>
          <w:rFonts w:hint="eastAsia" w:ascii="宋体" w:hAnsi="宋体"/>
          <w:sz w:val="24"/>
          <w:u w:val="single"/>
        </w:rPr>
        <w:t xml:space="preserve">24小时 </w:t>
      </w:r>
      <w:r>
        <w:rPr>
          <w:rFonts w:hint="eastAsia" w:ascii="宋体" w:hAnsi="宋体"/>
          <w:b/>
          <w:sz w:val="24"/>
          <w:u w:val="single"/>
        </w:rPr>
        <w:t xml:space="preserve"> </w:t>
      </w:r>
      <w:r>
        <w:rPr>
          <w:rFonts w:hint="eastAsia" w:ascii="宋体" w:hAnsi="宋体"/>
          <w:bCs/>
          <w:sz w:val="24"/>
        </w:rPr>
        <w:t>内响应订单并发出货物至甲方指定的地点，特殊急救耗材应随叫随到。如有特殊情况，确需延长交货期的，双方可协商解决。</w:t>
      </w:r>
    </w:p>
    <w:p w14:paraId="46E04ADE">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交货方式：乙方负责送货上门。</w:t>
      </w:r>
    </w:p>
    <w:p w14:paraId="1DFB832E">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 xml:space="preserve">. </w:t>
      </w:r>
      <w:r>
        <w:rPr>
          <w:rFonts w:hint="eastAsia" w:ascii="宋体" w:hAnsi="宋体"/>
          <w:sz w:val="24"/>
        </w:rPr>
        <w:t>交货地点：甲方指定的地点。</w:t>
      </w:r>
    </w:p>
    <w:p w14:paraId="4AB6B5BC">
      <w:pPr>
        <w:numPr>
          <w:ilvl w:val="0"/>
          <w:numId w:val="8"/>
        </w:numPr>
        <w:spacing w:line="460" w:lineRule="exact"/>
        <w:jc w:val="left"/>
        <w:rPr>
          <w:rFonts w:hint="eastAsia" w:ascii="宋体" w:hAnsi="宋体"/>
          <w:b/>
          <w:color w:val="000000"/>
          <w:sz w:val="24"/>
        </w:rPr>
      </w:pPr>
      <w:r>
        <w:rPr>
          <w:rFonts w:hint="eastAsia" w:ascii="宋体" w:hAnsi="宋体"/>
          <w:b/>
          <w:color w:val="000000"/>
          <w:sz w:val="24"/>
        </w:rPr>
        <w:t>付款方式</w:t>
      </w:r>
    </w:p>
    <w:p w14:paraId="059A0857">
      <w:pPr>
        <w:spacing w:line="460" w:lineRule="exact"/>
        <w:ind w:firstLine="480" w:firstLineChars="200"/>
        <w:jc w:val="left"/>
        <w:rPr>
          <w:rFonts w:ascii="宋体" w:hAnsi="宋体"/>
          <w:color w:val="000000"/>
          <w:sz w:val="24"/>
        </w:rPr>
      </w:pPr>
      <w:r>
        <w:rPr>
          <w:rFonts w:hint="eastAsia" w:ascii="宋体" w:hAnsi="宋体"/>
          <w:color w:val="000000"/>
          <w:sz w:val="24"/>
        </w:rPr>
        <w:t>材料验收合格后支付。</w:t>
      </w:r>
    </w:p>
    <w:p w14:paraId="418E47B1">
      <w:pPr>
        <w:numPr>
          <w:ilvl w:val="0"/>
          <w:numId w:val="8"/>
        </w:numPr>
        <w:spacing w:line="460" w:lineRule="exact"/>
        <w:jc w:val="left"/>
        <w:rPr>
          <w:rFonts w:ascii="宋体" w:hAnsi="宋体"/>
          <w:b/>
          <w:sz w:val="24"/>
        </w:rPr>
      </w:pPr>
      <w:r>
        <w:rPr>
          <w:rFonts w:hint="eastAsia" w:ascii="宋体" w:hAnsi="宋体"/>
          <w:b/>
          <w:sz w:val="24"/>
        </w:rPr>
        <w:t>产品有效期</w:t>
      </w:r>
    </w:p>
    <w:p w14:paraId="4AFC909C">
      <w:pPr>
        <w:spacing w:line="460" w:lineRule="exact"/>
        <w:ind w:firstLine="480" w:firstLineChars="200"/>
        <w:jc w:val="left"/>
        <w:rPr>
          <w:rFonts w:ascii="宋体" w:hAnsi="宋体"/>
          <w:sz w:val="24"/>
        </w:rPr>
      </w:pPr>
      <w:r>
        <w:rPr>
          <w:rFonts w:hint="eastAsia" w:ascii="宋体" w:hAnsi="宋体"/>
          <w:sz w:val="24"/>
        </w:rPr>
        <w:t>乙方所提供产品的有效期不得少于整个产品有效期的2/3。</w:t>
      </w:r>
    </w:p>
    <w:p w14:paraId="389BF2E2">
      <w:pPr>
        <w:numPr>
          <w:ilvl w:val="0"/>
          <w:numId w:val="8"/>
        </w:numPr>
        <w:spacing w:line="460" w:lineRule="exact"/>
        <w:jc w:val="left"/>
        <w:rPr>
          <w:rFonts w:ascii="宋体" w:hAnsi="宋体"/>
          <w:b/>
          <w:sz w:val="24"/>
        </w:rPr>
      </w:pPr>
      <w:r>
        <w:rPr>
          <w:rFonts w:hint="eastAsia" w:ascii="宋体" w:hAnsi="宋体"/>
          <w:b/>
          <w:sz w:val="24"/>
        </w:rPr>
        <w:t>知识产权</w:t>
      </w:r>
    </w:p>
    <w:p w14:paraId="798B0E57">
      <w:pPr>
        <w:spacing w:line="460" w:lineRule="exact"/>
        <w:ind w:firstLine="480" w:firstLineChars="200"/>
        <w:jc w:val="left"/>
        <w:rPr>
          <w:rFonts w:hint="eastAsia" w:ascii="宋体" w:hAnsi="宋体"/>
          <w:sz w:val="24"/>
        </w:rPr>
      </w:pPr>
      <w:r>
        <w:rPr>
          <w:rFonts w:hint="eastAsia" w:ascii="宋体" w:hAnsi="宋体"/>
          <w:sz w:val="24"/>
        </w:rPr>
        <w:t>乙方应保证甲方在使用乙方所提供的产品时，不会损害任何第三方的权益，也不会受到任何第三方提出的侵犯其专利权、商标权或保护期的起诉，否则应由乙方自行承担因此而产生的一切后果。若甲方因此被索赔或被追究任何法律责任，均应由乙方承担最终责任并赔偿甲方产生的相关损失。</w:t>
      </w:r>
    </w:p>
    <w:p w14:paraId="4F944300">
      <w:pPr>
        <w:numPr>
          <w:ilvl w:val="0"/>
          <w:numId w:val="8"/>
        </w:numPr>
        <w:spacing w:line="460" w:lineRule="exact"/>
        <w:jc w:val="left"/>
        <w:rPr>
          <w:rFonts w:hint="eastAsia" w:ascii="宋体" w:hAnsi="宋体"/>
          <w:b/>
          <w:bCs/>
          <w:sz w:val="24"/>
        </w:rPr>
      </w:pPr>
      <w:r>
        <w:rPr>
          <w:rFonts w:hint="eastAsia" w:ascii="宋体" w:hAnsi="宋体"/>
          <w:b/>
          <w:bCs/>
          <w:sz w:val="24"/>
        </w:rPr>
        <w:t>产权担保</w:t>
      </w:r>
    </w:p>
    <w:p w14:paraId="6AB2546C">
      <w:pPr>
        <w:spacing w:line="460" w:lineRule="exact"/>
        <w:ind w:firstLine="480" w:firstLineChars="200"/>
        <w:jc w:val="left"/>
        <w:rPr>
          <w:rFonts w:hint="eastAsia" w:ascii="宋体" w:hAnsi="宋体"/>
          <w:sz w:val="24"/>
        </w:rPr>
      </w:pPr>
      <w:r>
        <w:rPr>
          <w:rFonts w:hint="eastAsia" w:ascii="宋体" w:hAnsi="宋体"/>
          <w:sz w:val="24"/>
        </w:rPr>
        <w:t>乙方保证所交付货物的所有权完全属于乙方且无任何抵押、查封等产权瑕疵。</w:t>
      </w:r>
    </w:p>
    <w:p w14:paraId="459A2CE2">
      <w:pPr>
        <w:spacing w:line="460" w:lineRule="exact"/>
        <w:jc w:val="left"/>
        <w:rPr>
          <w:rFonts w:ascii="宋体" w:hAnsi="宋体"/>
          <w:b/>
          <w:sz w:val="24"/>
        </w:rPr>
      </w:pPr>
      <w:r>
        <w:rPr>
          <w:rFonts w:hint="eastAsia" w:ascii="宋体" w:hAnsi="宋体"/>
          <w:b/>
          <w:sz w:val="24"/>
        </w:rPr>
        <w:t xml:space="preserve">八、 </w:t>
      </w:r>
      <w:r>
        <w:rPr>
          <w:rFonts w:ascii="宋体" w:hAnsi="宋体"/>
          <w:b/>
          <w:sz w:val="24"/>
        </w:rPr>
        <w:t xml:space="preserve"> </w:t>
      </w:r>
      <w:r>
        <w:rPr>
          <w:rFonts w:hint="eastAsia" w:ascii="宋体" w:hAnsi="宋体"/>
          <w:b/>
          <w:sz w:val="24"/>
        </w:rPr>
        <w:t>包装</w:t>
      </w:r>
    </w:p>
    <w:p w14:paraId="597B2517">
      <w:pPr>
        <w:spacing w:line="460" w:lineRule="exact"/>
        <w:ind w:firstLine="480" w:firstLineChars="200"/>
        <w:jc w:val="left"/>
        <w:rPr>
          <w:rFonts w:ascii="宋体" w:hAnsi="宋体"/>
          <w:sz w:val="24"/>
        </w:rPr>
      </w:pPr>
      <w:r>
        <w:rPr>
          <w:rFonts w:hint="eastAsia" w:ascii="宋体" w:hAnsi="宋体"/>
          <w:sz w:val="24"/>
        </w:rPr>
        <w:t>1</w:t>
      </w:r>
      <w:r>
        <w:rPr>
          <w:rFonts w:ascii="宋体" w:hAnsi="宋体"/>
          <w:sz w:val="24"/>
        </w:rPr>
        <w:t xml:space="preserve">. </w:t>
      </w:r>
      <w:r>
        <w:rPr>
          <w:rFonts w:hint="eastAsia" w:ascii="宋体" w:hAnsi="宋体"/>
          <w:sz w:val="24"/>
        </w:rPr>
        <w:t>除非对包装另有规定，乙方提供的全部产品均应按标准保护措施进行包装，以防止产品在转运中损坏或变质，确保产品安全无损运抵指定地点。</w:t>
      </w:r>
    </w:p>
    <w:p w14:paraId="1DE01F37">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每一个包装箱内应附一份详细装箱单和质量合格证。包装、标记和包装箱内外的单据应符合标准要求，包括甲方提出的</w:t>
      </w:r>
      <w:r>
        <w:rPr>
          <w:rFonts w:hint="eastAsia" w:ascii="宋体" w:hAnsi="宋体"/>
          <w:sz w:val="24"/>
          <w:lang w:eastAsia="zh-CN"/>
        </w:rPr>
        <w:t>其他</w:t>
      </w:r>
      <w:r>
        <w:rPr>
          <w:rFonts w:hint="eastAsia" w:ascii="宋体" w:hAnsi="宋体"/>
          <w:sz w:val="24"/>
        </w:rPr>
        <w:t>合理要求。</w:t>
      </w:r>
    </w:p>
    <w:p w14:paraId="5755B525">
      <w:pPr>
        <w:spacing w:line="460" w:lineRule="exact"/>
        <w:jc w:val="left"/>
        <w:rPr>
          <w:rFonts w:ascii="宋体" w:hAnsi="宋体"/>
          <w:b/>
          <w:bCs/>
          <w:sz w:val="24"/>
        </w:rPr>
      </w:pPr>
      <w:r>
        <w:rPr>
          <w:rFonts w:hint="eastAsia" w:ascii="宋体" w:hAnsi="宋体"/>
          <w:b/>
          <w:bCs/>
          <w:sz w:val="24"/>
        </w:rPr>
        <w:t xml:space="preserve">九、 </w:t>
      </w:r>
      <w:r>
        <w:rPr>
          <w:rFonts w:ascii="宋体" w:hAnsi="宋体"/>
          <w:b/>
          <w:bCs/>
          <w:sz w:val="24"/>
        </w:rPr>
        <w:t xml:space="preserve"> </w:t>
      </w:r>
      <w:r>
        <w:rPr>
          <w:rFonts w:hint="eastAsia" w:ascii="宋体" w:hAnsi="宋体"/>
          <w:b/>
          <w:bCs/>
          <w:sz w:val="24"/>
        </w:rPr>
        <w:t>价格</w:t>
      </w:r>
    </w:p>
    <w:p w14:paraId="6C918358">
      <w:pPr>
        <w:spacing w:line="460" w:lineRule="exact"/>
        <w:ind w:firstLine="480" w:firstLineChars="200"/>
        <w:jc w:val="left"/>
        <w:rPr>
          <w:rFonts w:hint="eastAsia" w:ascii="宋体" w:hAnsi="宋体"/>
          <w:sz w:val="24"/>
        </w:rPr>
      </w:pPr>
      <w:r>
        <w:rPr>
          <w:rFonts w:hint="eastAsia" w:ascii="宋体" w:hAnsi="宋体"/>
          <w:sz w:val="24"/>
        </w:rPr>
        <w:t>在合同有效期内，乙方在本合同项下供应的产品，应保证：</w:t>
      </w:r>
    </w:p>
    <w:p w14:paraId="357DB61B">
      <w:pPr>
        <w:numPr>
          <w:ilvl w:val="0"/>
          <w:numId w:val="9"/>
        </w:numPr>
        <w:spacing w:line="460" w:lineRule="exact"/>
        <w:jc w:val="left"/>
        <w:rPr>
          <w:rFonts w:ascii="宋体" w:hAnsi="宋体"/>
          <w:sz w:val="24"/>
        </w:rPr>
      </w:pPr>
      <w:r>
        <w:rPr>
          <w:rFonts w:hint="eastAsia" w:ascii="宋体" w:hAnsi="宋体"/>
          <w:sz w:val="24"/>
        </w:rPr>
        <w:t>浙江省耗材集中采购遴选产品中标目录中的产品，应严格遵照中标目录</w:t>
      </w:r>
    </w:p>
    <w:p w14:paraId="11D50E25">
      <w:pPr>
        <w:spacing w:line="460" w:lineRule="exact"/>
        <w:jc w:val="left"/>
        <w:rPr>
          <w:rFonts w:hint="eastAsia" w:ascii="宋体" w:hAnsi="宋体"/>
          <w:sz w:val="24"/>
        </w:rPr>
      </w:pPr>
      <w:r>
        <w:rPr>
          <w:rFonts w:hint="eastAsia" w:ascii="宋体" w:hAnsi="宋体"/>
          <w:sz w:val="24"/>
        </w:rPr>
        <w:t>确认的价格。</w:t>
      </w:r>
    </w:p>
    <w:p w14:paraId="4AC68606">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经甲方议价的产品，合同期内乙方承诺供应价均为浙江省内最低价格。若发现供应的医用耗材在省内任何其他医院的价格低于甲方的采购价格，乙方需第一时间直接按照最低价供货。</w:t>
      </w:r>
    </w:p>
    <w:p w14:paraId="6DB8D8B5">
      <w:pPr>
        <w:spacing w:line="460" w:lineRule="exact"/>
        <w:jc w:val="left"/>
        <w:rPr>
          <w:rFonts w:ascii="宋体" w:hAnsi="宋体"/>
          <w:b/>
          <w:sz w:val="24"/>
        </w:rPr>
      </w:pPr>
      <w:r>
        <w:rPr>
          <w:rFonts w:hint="eastAsia" w:ascii="宋体" w:hAnsi="宋体"/>
          <w:b/>
          <w:sz w:val="24"/>
        </w:rPr>
        <w:t xml:space="preserve">十、 </w:t>
      </w:r>
      <w:r>
        <w:rPr>
          <w:rFonts w:ascii="宋体" w:hAnsi="宋体"/>
          <w:b/>
          <w:sz w:val="24"/>
        </w:rPr>
        <w:t xml:space="preserve"> </w:t>
      </w:r>
      <w:r>
        <w:rPr>
          <w:rFonts w:hint="eastAsia" w:ascii="宋体" w:hAnsi="宋体"/>
          <w:b/>
          <w:sz w:val="24"/>
        </w:rPr>
        <w:t>质量保证及售后服务</w:t>
      </w:r>
    </w:p>
    <w:p w14:paraId="5A1E2044">
      <w:pPr>
        <w:spacing w:line="460" w:lineRule="exact"/>
        <w:ind w:firstLine="480" w:firstLineChars="200"/>
        <w:jc w:val="left"/>
        <w:rPr>
          <w:rFonts w:ascii="宋体" w:hAnsi="宋体"/>
          <w:sz w:val="24"/>
        </w:rPr>
      </w:pPr>
      <w:r>
        <w:rPr>
          <w:rFonts w:ascii="宋体" w:hAnsi="宋体"/>
          <w:sz w:val="24"/>
        </w:rPr>
        <w:t xml:space="preserve">1. </w:t>
      </w:r>
      <w:r>
        <w:rPr>
          <w:rFonts w:hint="eastAsia" w:ascii="宋体" w:hAnsi="宋体"/>
          <w:sz w:val="24"/>
        </w:rPr>
        <w:t>乙方按合同交付的产品质量应符合国家食品药品监督管理部门的规定、与报价时承诺的质量相一致，以确保临床使用安全有效。</w:t>
      </w:r>
    </w:p>
    <w:p w14:paraId="07FA3655">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甲方在接收产品时</w:t>
      </w:r>
      <w:r>
        <w:rPr>
          <w:rFonts w:hint="eastAsia" w:ascii="宋体" w:hAnsi="宋体"/>
          <w:sz w:val="24"/>
          <w:lang w:eastAsia="zh-CN"/>
        </w:rPr>
        <w:t>，</w:t>
      </w:r>
      <w:r>
        <w:rPr>
          <w:rFonts w:hint="eastAsia" w:ascii="宋体" w:hAnsi="宋体"/>
          <w:sz w:val="24"/>
        </w:rPr>
        <w:t>应对产品进行验收</w:t>
      </w:r>
      <w:r>
        <w:rPr>
          <w:rFonts w:hint="eastAsia" w:ascii="宋体" w:hAnsi="宋体"/>
          <w:sz w:val="24"/>
          <w:lang w:eastAsia="zh-CN"/>
        </w:rPr>
        <w:t>，</w:t>
      </w:r>
      <w:r>
        <w:rPr>
          <w:rFonts w:hint="eastAsia" w:ascii="宋体" w:hAnsi="宋体"/>
          <w:sz w:val="24"/>
        </w:rPr>
        <w:t>对不符合合同要求或质量要求的产品有权拒绝</w:t>
      </w:r>
      <w:r>
        <w:rPr>
          <w:rFonts w:hint="eastAsia" w:ascii="宋体" w:hAnsi="宋体"/>
          <w:sz w:val="24"/>
          <w:lang w:eastAsia="zh-CN"/>
        </w:rPr>
        <w:t>接收</w:t>
      </w:r>
      <w:r>
        <w:rPr>
          <w:rFonts w:hint="eastAsia" w:ascii="宋体" w:hAnsi="宋体"/>
          <w:sz w:val="24"/>
        </w:rPr>
        <w:t>。乙方应及时更换被拒绝的产品</w:t>
      </w:r>
      <w:r>
        <w:rPr>
          <w:rFonts w:hint="eastAsia" w:ascii="宋体" w:hAnsi="宋体"/>
          <w:sz w:val="24"/>
          <w:lang w:eastAsia="zh-CN"/>
        </w:rPr>
        <w:t>，</w:t>
      </w:r>
      <w:r>
        <w:rPr>
          <w:rFonts w:hint="eastAsia" w:ascii="宋体" w:hAnsi="宋体"/>
          <w:sz w:val="24"/>
        </w:rPr>
        <w:t>不得影响甲方的临床使用。</w:t>
      </w:r>
    </w:p>
    <w:p w14:paraId="6BE9537B">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 xml:space="preserve"> 乙方应于24小时内响应临床在产品使用过程中或使用后发生质量等问题。</w:t>
      </w:r>
    </w:p>
    <w:p w14:paraId="39D41689">
      <w:pPr>
        <w:tabs>
          <w:tab w:val="left" w:pos="1575"/>
          <w:tab w:val="left" w:pos="1890"/>
        </w:tabs>
        <w:spacing w:before="100" w:line="460" w:lineRule="exact"/>
        <w:ind w:firstLine="480" w:firstLineChars="200"/>
        <w:rPr>
          <w:rFonts w:hint="eastAsia" w:ascii="宋体" w:hAnsi="宋体"/>
          <w:sz w:val="24"/>
        </w:rPr>
      </w:pPr>
      <w:r>
        <w:rPr>
          <w:rFonts w:ascii="宋体" w:hAnsi="宋体"/>
          <w:sz w:val="24"/>
        </w:rPr>
        <w:t xml:space="preserve">4. </w:t>
      </w:r>
      <w:r>
        <w:rPr>
          <w:rFonts w:hint="eastAsia" w:ascii="宋体" w:hAnsi="宋体"/>
          <w:sz w:val="24"/>
        </w:rPr>
        <w:t>甲方有权抽取任一批次货物送国家权威部门进行检测，如检测结果不符合标准要求，乙方需无条件进行同批次货物的退换，并承担给甲方所造成的损失。</w:t>
      </w:r>
    </w:p>
    <w:p w14:paraId="39742CCC">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5. </w:t>
      </w:r>
      <w:r>
        <w:rPr>
          <w:rFonts w:hint="eastAsia" w:ascii="宋体" w:hAnsi="宋体"/>
          <w:sz w:val="24"/>
        </w:rPr>
        <w:t>经法定机构确认为产品质量原因造成甲方损失的，其损失（包括由此造成的</w:t>
      </w:r>
      <w:r>
        <w:rPr>
          <w:rFonts w:hint="eastAsia" w:ascii="宋体" w:hAnsi="宋体"/>
          <w:sz w:val="24"/>
          <w:lang w:eastAsia="zh-CN"/>
        </w:rPr>
        <w:t>其他损失</w:t>
      </w:r>
      <w:r>
        <w:rPr>
          <w:rFonts w:hint="eastAsia" w:ascii="宋体" w:hAnsi="宋体"/>
          <w:sz w:val="24"/>
        </w:rPr>
        <w:t>）一律由乙方承担，同时甲方有权终止乙方的合同。</w:t>
      </w:r>
    </w:p>
    <w:p w14:paraId="307204FE">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6. </w:t>
      </w:r>
      <w:r>
        <w:rPr>
          <w:rFonts w:hint="eastAsia" w:ascii="宋体" w:hAnsi="宋体"/>
          <w:sz w:val="24"/>
        </w:rPr>
        <w:t>乙方应保证有足够的备货数量。</w:t>
      </w:r>
    </w:p>
    <w:p w14:paraId="50E8238B">
      <w:pPr>
        <w:tabs>
          <w:tab w:val="left" w:pos="1575"/>
          <w:tab w:val="left" w:pos="1890"/>
        </w:tabs>
        <w:spacing w:before="100" w:line="460" w:lineRule="exact"/>
        <w:ind w:firstLine="480" w:firstLineChars="200"/>
        <w:rPr>
          <w:rFonts w:ascii="宋体" w:hAnsi="宋体"/>
          <w:sz w:val="24"/>
        </w:rPr>
      </w:pPr>
      <w:r>
        <w:rPr>
          <w:rFonts w:hint="eastAsia" w:ascii="宋体" w:hAnsi="宋体"/>
          <w:sz w:val="24"/>
        </w:rPr>
        <w:t>7</w:t>
      </w:r>
      <w:r>
        <w:rPr>
          <w:rFonts w:ascii="宋体" w:hAnsi="宋体"/>
          <w:sz w:val="24"/>
        </w:rPr>
        <w:t>. 乙方应承担产品使用过程中造成的合理损耗。</w:t>
      </w:r>
    </w:p>
    <w:p w14:paraId="394AA7F2">
      <w:pPr>
        <w:tabs>
          <w:tab w:val="left" w:pos="1575"/>
          <w:tab w:val="left" w:pos="1890"/>
        </w:tabs>
        <w:spacing w:before="100" w:line="460" w:lineRule="exact"/>
        <w:ind w:firstLine="480" w:firstLineChars="200"/>
        <w:rPr>
          <w:rFonts w:hint="eastAsia" w:ascii="宋体" w:hAnsi="宋体"/>
          <w:sz w:val="24"/>
        </w:rPr>
      </w:pPr>
      <w:r>
        <w:rPr>
          <w:rFonts w:hint="eastAsia" w:ascii="宋体" w:hAnsi="宋体"/>
          <w:sz w:val="24"/>
        </w:rPr>
        <w:t>8</w:t>
      </w:r>
      <w:r>
        <w:rPr>
          <w:rFonts w:ascii="宋体" w:hAnsi="宋体"/>
          <w:sz w:val="24"/>
        </w:rPr>
        <w:t>.乙方应配合甲方完成临期产品的退换货。</w:t>
      </w:r>
    </w:p>
    <w:p w14:paraId="2F6F366A">
      <w:pPr>
        <w:spacing w:line="460" w:lineRule="exact"/>
        <w:jc w:val="left"/>
        <w:rPr>
          <w:rFonts w:hint="eastAsia" w:ascii="宋体" w:hAnsi="宋体"/>
          <w:b/>
          <w:sz w:val="24"/>
        </w:rPr>
      </w:pPr>
      <w:r>
        <w:rPr>
          <w:rFonts w:hint="eastAsia" w:ascii="宋体" w:hAnsi="宋体"/>
          <w:b/>
          <w:sz w:val="24"/>
        </w:rPr>
        <w:t xml:space="preserve">十一、  </w:t>
      </w:r>
      <w:r>
        <w:rPr>
          <w:rFonts w:ascii="宋体" w:hAnsi="宋体"/>
          <w:b/>
          <w:sz w:val="24"/>
        </w:rPr>
        <w:t>违约责任</w:t>
      </w:r>
    </w:p>
    <w:p w14:paraId="313F085B">
      <w:pPr>
        <w:numPr>
          <w:ilvl w:val="0"/>
          <w:numId w:val="10"/>
        </w:numPr>
        <w:adjustRightInd w:val="0"/>
        <w:spacing w:line="460" w:lineRule="exact"/>
        <w:ind w:left="0" w:firstLine="480" w:firstLineChars="200"/>
        <w:jc w:val="left"/>
        <w:rPr>
          <w:rFonts w:ascii="宋体" w:hAnsi="宋体"/>
          <w:sz w:val="24"/>
        </w:rPr>
      </w:pPr>
      <w:r>
        <w:rPr>
          <w:rFonts w:ascii="宋体" w:hAnsi="宋体"/>
          <w:sz w:val="24"/>
        </w:rPr>
        <w:t>乙方逾期交付货物的，</w:t>
      </w:r>
      <w:r>
        <w:rPr>
          <w:rFonts w:hint="eastAsia" w:ascii="宋体" w:hAnsi="宋体"/>
          <w:sz w:val="24"/>
        </w:rPr>
        <w:t>甲方可将其记入供应商不良记录，并视情况延期支付货款</w:t>
      </w:r>
      <w:r>
        <w:rPr>
          <w:rFonts w:ascii="宋体" w:hAnsi="宋体"/>
          <w:sz w:val="24"/>
        </w:rPr>
        <w:t>。逾期超过约定日期10个工作日不能交货的，甲方</w:t>
      </w:r>
      <w:r>
        <w:rPr>
          <w:rFonts w:hint="eastAsia" w:ascii="宋体" w:hAnsi="宋体"/>
          <w:sz w:val="24"/>
        </w:rPr>
        <w:t>有权</w:t>
      </w:r>
      <w:r>
        <w:rPr>
          <w:rFonts w:ascii="宋体" w:hAnsi="宋体"/>
          <w:sz w:val="24"/>
        </w:rPr>
        <w:t>解除本合同。乙方因逾期交货或因其他违约行为导致甲方解除合同的，乙方</w:t>
      </w:r>
      <w:r>
        <w:rPr>
          <w:rFonts w:hint="eastAsia" w:ascii="宋体" w:hAnsi="宋体"/>
          <w:sz w:val="24"/>
        </w:rPr>
        <w:t>应</w:t>
      </w:r>
      <w:r>
        <w:rPr>
          <w:rFonts w:ascii="宋体" w:hAnsi="宋体"/>
          <w:sz w:val="24"/>
        </w:rPr>
        <w:t>承担相应的赔偿</w:t>
      </w:r>
    </w:p>
    <w:p w14:paraId="33E36402">
      <w:pPr>
        <w:adjustRightInd w:val="0"/>
        <w:spacing w:line="460" w:lineRule="exact"/>
        <w:jc w:val="left"/>
        <w:textAlignment w:val="baseline"/>
        <w:rPr>
          <w:rFonts w:ascii="宋体" w:hAnsi="宋体"/>
          <w:sz w:val="24"/>
        </w:rPr>
      </w:pPr>
      <w:r>
        <w:rPr>
          <w:rFonts w:ascii="宋体" w:hAnsi="宋体"/>
          <w:sz w:val="24"/>
        </w:rPr>
        <w:t xml:space="preserve">责任。 </w:t>
      </w:r>
    </w:p>
    <w:p w14:paraId="254678A1">
      <w:pPr>
        <w:numPr>
          <w:ilvl w:val="0"/>
          <w:numId w:val="10"/>
        </w:numPr>
        <w:adjustRightInd w:val="0"/>
        <w:spacing w:line="460" w:lineRule="exact"/>
        <w:ind w:left="0" w:firstLine="480" w:firstLineChars="200"/>
        <w:jc w:val="left"/>
        <w:rPr>
          <w:rFonts w:hint="eastAsia" w:ascii="宋体" w:hAnsi="宋体"/>
          <w:sz w:val="24"/>
        </w:rPr>
      </w:pPr>
      <w:r>
        <w:rPr>
          <w:rFonts w:ascii="宋体" w:hAnsi="宋体"/>
          <w:sz w:val="24"/>
        </w:rPr>
        <w:t>乙方所交的货物品种、型号、规格、技术参数、质量不符合规定标准的，甲方有权拒收该货物，乙方愿意更换货物但逾期交货的，按乙方逾期交货处理。乙方拒绝更换货物的，甲方可单方面解除合同。</w:t>
      </w:r>
    </w:p>
    <w:p w14:paraId="350539D3">
      <w:pPr>
        <w:numPr>
          <w:ilvl w:val="0"/>
          <w:numId w:val="10"/>
        </w:numPr>
        <w:adjustRightInd w:val="0"/>
        <w:spacing w:line="460" w:lineRule="exact"/>
        <w:ind w:left="0" w:firstLine="480" w:firstLineChars="200"/>
        <w:jc w:val="left"/>
        <w:rPr>
          <w:rFonts w:ascii="宋体" w:hAnsi="宋体"/>
          <w:sz w:val="24"/>
        </w:rPr>
      </w:pPr>
      <w:r>
        <w:rPr>
          <w:rFonts w:hint="eastAsia" w:ascii="宋体" w:hAnsi="宋体"/>
          <w:sz w:val="24"/>
          <w:lang w:val="en-US" w:eastAsia="zh-CN"/>
        </w:rPr>
        <w:t>合同期内</w:t>
      </w:r>
      <w:r>
        <w:rPr>
          <w:rFonts w:hint="eastAsia" w:ascii="宋体" w:hAnsi="宋体"/>
          <w:sz w:val="24"/>
        </w:rPr>
        <w:t>，乙方未经甲方同意，擅自提高供货价格，并以此为理由拒绝供货的，</w:t>
      </w:r>
      <w:r>
        <w:rPr>
          <w:rFonts w:ascii="宋体" w:hAnsi="宋体"/>
          <w:sz w:val="24"/>
        </w:rPr>
        <w:t>甲方</w:t>
      </w:r>
      <w:r>
        <w:rPr>
          <w:rFonts w:hint="eastAsia" w:ascii="宋体" w:hAnsi="宋体"/>
          <w:sz w:val="24"/>
        </w:rPr>
        <w:t>有权</w:t>
      </w:r>
      <w:r>
        <w:rPr>
          <w:rFonts w:ascii="宋体" w:hAnsi="宋体"/>
          <w:sz w:val="24"/>
        </w:rPr>
        <w:t>单方面解除合同</w:t>
      </w:r>
      <w:r>
        <w:rPr>
          <w:rFonts w:hint="eastAsia" w:ascii="宋体" w:hAnsi="宋体"/>
          <w:sz w:val="24"/>
        </w:rPr>
        <w:t>，</w:t>
      </w:r>
      <w:r>
        <w:rPr>
          <w:rFonts w:ascii="宋体" w:hAnsi="宋体"/>
          <w:sz w:val="24"/>
        </w:rPr>
        <w:t>并</w:t>
      </w:r>
      <w:r>
        <w:rPr>
          <w:rFonts w:hint="eastAsia" w:ascii="宋体" w:hAnsi="宋体"/>
          <w:sz w:val="24"/>
        </w:rPr>
        <w:t>酌情扣除部分</w:t>
      </w:r>
      <w:r>
        <w:rPr>
          <w:rFonts w:ascii="宋体" w:hAnsi="宋体"/>
          <w:sz w:val="24"/>
        </w:rPr>
        <w:t>货款</w:t>
      </w:r>
      <w:r>
        <w:rPr>
          <w:rFonts w:hint="eastAsia" w:ascii="宋体" w:hAnsi="宋体"/>
          <w:sz w:val="24"/>
        </w:rPr>
        <w:t>。</w:t>
      </w:r>
    </w:p>
    <w:p w14:paraId="0FC42C58">
      <w:pPr>
        <w:numPr>
          <w:ilvl w:val="0"/>
          <w:numId w:val="10"/>
        </w:numPr>
        <w:adjustRightInd w:val="0"/>
        <w:spacing w:line="460" w:lineRule="exact"/>
        <w:ind w:left="0" w:firstLine="480" w:firstLineChars="200"/>
        <w:jc w:val="left"/>
        <w:rPr>
          <w:rStyle w:val="35"/>
          <w:rFonts w:ascii="宋体" w:hAnsi="宋体"/>
          <w:bCs/>
        </w:rPr>
      </w:pPr>
      <w:r>
        <w:rPr>
          <w:rFonts w:ascii="宋体" w:hAnsi="宋体"/>
          <w:sz w:val="24"/>
        </w:rPr>
        <w:t>乙方开具的发票存在造假行为的，甲方有权冻结所有应付乙方的款项。</w:t>
      </w:r>
    </w:p>
    <w:p w14:paraId="045E45D0">
      <w:pPr>
        <w:spacing w:line="460" w:lineRule="exact"/>
        <w:jc w:val="left"/>
        <w:rPr>
          <w:rFonts w:ascii="宋体" w:hAnsi="宋体"/>
          <w:b/>
          <w:sz w:val="24"/>
        </w:rPr>
      </w:pPr>
      <w:r>
        <w:rPr>
          <w:rFonts w:hint="eastAsia" w:ascii="宋体" w:hAnsi="宋体"/>
          <w:b/>
          <w:sz w:val="24"/>
        </w:rPr>
        <w:t>十二、 不可抗力</w:t>
      </w:r>
    </w:p>
    <w:p w14:paraId="02ED18F7">
      <w:pPr>
        <w:numPr>
          <w:ilvl w:val="0"/>
          <w:numId w:val="11"/>
        </w:numPr>
        <w:adjustRightInd w:val="0"/>
        <w:spacing w:line="460" w:lineRule="exact"/>
        <w:ind w:left="0" w:firstLine="480" w:firstLineChars="200"/>
        <w:jc w:val="left"/>
        <w:rPr>
          <w:rFonts w:ascii="宋体" w:hAnsi="宋体"/>
          <w:sz w:val="24"/>
        </w:rPr>
      </w:pPr>
      <w:r>
        <w:rPr>
          <w:rFonts w:ascii="宋体" w:hAnsi="宋体"/>
          <w:sz w:val="24"/>
        </w:rPr>
        <w:t>在合同有效期内，任何一方因不可抗力事件导致不能履行合同，则合同履行期可延长，其延长期与不可抗力影响期相同。</w:t>
      </w:r>
    </w:p>
    <w:p w14:paraId="3B702088">
      <w:pPr>
        <w:numPr>
          <w:ilvl w:val="0"/>
          <w:numId w:val="11"/>
        </w:numPr>
        <w:adjustRightInd w:val="0"/>
        <w:spacing w:line="460" w:lineRule="exact"/>
        <w:ind w:left="0" w:firstLine="480" w:firstLineChars="200"/>
        <w:jc w:val="left"/>
        <w:rPr>
          <w:rFonts w:ascii="宋体" w:hAnsi="宋体"/>
          <w:sz w:val="24"/>
        </w:rPr>
      </w:pPr>
      <w:r>
        <w:rPr>
          <w:rFonts w:ascii="宋体" w:hAnsi="宋体"/>
          <w:sz w:val="24"/>
        </w:rPr>
        <w:t>不可抗力事件发生后，应立即通知对方，并寄送有关权威机构出具的证明。</w:t>
      </w:r>
    </w:p>
    <w:p w14:paraId="69090B0D">
      <w:pPr>
        <w:numPr>
          <w:ilvl w:val="0"/>
          <w:numId w:val="11"/>
        </w:numPr>
        <w:adjustRightInd w:val="0"/>
        <w:spacing w:line="460" w:lineRule="exact"/>
        <w:ind w:left="0" w:firstLine="480" w:firstLineChars="200"/>
        <w:jc w:val="left"/>
        <w:rPr>
          <w:rFonts w:ascii="宋体" w:hAnsi="宋体"/>
          <w:sz w:val="24"/>
        </w:rPr>
      </w:pPr>
      <w:r>
        <w:rPr>
          <w:rFonts w:ascii="宋体" w:hAnsi="宋体"/>
          <w:sz w:val="24"/>
        </w:rPr>
        <w:t>不可抗力事件延续120天以上，双方应通过友好协商，确定是否继续履行合同。</w:t>
      </w:r>
    </w:p>
    <w:p w14:paraId="761FEC94">
      <w:pPr>
        <w:spacing w:line="460" w:lineRule="exact"/>
        <w:jc w:val="left"/>
        <w:rPr>
          <w:rFonts w:ascii="宋体" w:hAnsi="宋体"/>
          <w:b/>
          <w:sz w:val="24"/>
        </w:rPr>
      </w:pPr>
      <w:r>
        <w:rPr>
          <w:rFonts w:hint="eastAsia" w:ascii="宋体" w:hAnsi="宋体"/>
          <w:b/>
          <w:sz w:val="24"/>
        </w:rPr>
        <w:t xml:space="preserve">十三、 </w:t>
      </w:r>
      <w:r>
        <w:rPr>
          <w:rFonts w:ascii="宋体" w:hAnsi="宋体"/>
          <w:b/>
          <w:sz w:val="24"/>
        </w:rPr>
        <w:t>诉讼</w:t>
      </w:r>
    </w:p>
    <w:p w14:paraId="11433ACA">
      <w:pPr>
        <w:adjustRightInd w:val="0"/>
        <w:spacing w:line="460" w:lineRule="exact"/>
        <w:ind w:firstLine="480" w:firstLineChars="200"/>
        <w:jc w:val="left"/>
        <w:rPr>
          <w:rFonts w:ascii="宋体" w:hAnsi="宋体"/>
          <w:sz w:val="24"/>
        </w:rPr>
      </w:pPr>
      <w:r>
        <w:rPr>
          <w:rFonts w:ascii="宋体" w:hAnsi="宋体"/>
          <w:sz w:val="24"/>
        </w:rPr>
        <w:t>双方在执行合同中所发生的一切争议，应通过协商解决。如协商不成，可向甲方所在地法院起诉。</w:t>
      </w:r>
    </w:p>
    <w:p w14:paraId="56A5A682">
      <w:pPr>
        <w:spacing w:line="460" w:lineRule="exact"/>
        <w:jc w:val="left"/>
        <w:rPr>
          <w:rFonts w:ascii="宋体" w:hAnsi="宋体"/>
          <w:b/>
          <w:sz w:val="24"/>
        </w:rPr>
      </w:pPr>
      <w:r>
        <w:rPr>
          <w:rFonts w:hint="eastAsia" w:ascii="宋体" w:hAnsi="宋体"/>
          <w:b/>
          <w:sz w:val="24"/>
        </w:rPr>
        <w:t>十四、 合同终止</w:t>
      </w:r>
    </w:p>
    <w:p w14:paraId="3D22C948">
      <w:pPr>
        <w:spacing w:line="460" w:lineRule="exact"/>
        <w:ind w:firstLine="480" w:firstLineChars="200"/>
        <w:jc w:val="left"/>
        <w:rPr>
          <w:rFonts w:ascii="宋体" w:hAnsi="宋体"/>
          <w:sz w:val="24"/>
        </w:rPr>
      </w:pPr>
      <w:r>
        <w:rPr>
          <w:rFonts w:hint="eastAsia" w:ascii="宋体" w:hAnsi="宋体"/>
          <w:sz w:val="24"/>
        </w:rPr>
        <w:t>甲乙一方在对方发生如下情形，可部分或全部终止合同。采取的任何补救措施不受影响。</w:t>
      </w:r>
    </w:p>
    <w:p w14:paraId="3FA10C42">
      <w:pPr>
        <w:spacing w:line="460" w:lineRule="exact"/>
        <w:ind w:firstLine="480" w:firstLineChars="200"/>
        <w:jc w:val="left"/>
        <w:rPr>
          <w:rFonts w:ascii="宋体" w:hAnsi="宋体"/>
          <w:sz w:val="24"/>
        </w:rPr>
      </w:pPr>
      <w:r>
        <w:rPr>
          <w:rFonts w:hint="eastAsia" w:ascii="宋体" w:hAnsi="宋体"/>
          <w:sz w:val="24"/>
        </w:rPr>
        <w:t>1. 乙方未能在合同规定的限期或甲方同意延长的限期内提供部分或全部产品。</w:t>
      </w:r>
    </w:p>
    <w:p w14:paraId="3BF54C24">
      <w:pPr>
        <w:spacing w:line="460" w:lineRule="exact"/>
        <w:ind w:firstLine="480" w:firstLineChars="200"/>
        <w:jc w:val="left"/>
        <w:rPr>
          <w:rFonts w:hint="eastAsia" w:ascii="宋体" w:hAnsi="宋体"/>
          <w:sz w:val="24"/>
        </w:rPr>
      </w:pPr>
      <w:r>
        <w:rPr>
          <w:rFonts w:hint="eastAsia" w:ascii="宋体" w:hAnsi="宋体"/>
          <w:sz w:val="24"/>
        </w:rPr>
        <w:t>2. 甲乙一方未能履行合同规定的其它义务。</w:t>
      </w:r>
    </w:p>
    <w:p w14:paraId="2A4C27BB">
      <w:pPr>
        <w:spacing w:line="460" w:lineRule="exact"/>
        <w:ind w:firstLine="480" w:firstLineChars="200"/>
        <w:jc w:val="left"/>
        <w:rPr>
          <w:rFonts w:ascii="宋体" w:hAnsi="宋体"/>
          <w:sz w:val="24"/>
        </w:rPr>
      </w:pPr>
      <w:r>
        <w:rPr>
          <w:rFonts w:hint="eastAsia" w:ascii="宋体" w:hAnsi="宋体"/>
          <w:sz w:val="24"/>
        </w:rPr>
        <w:t>3. 乙方提供的产品属于浙江省政府集中采购范畴，在集采中落标的，或乙方被取消配送商资格的。</w:t>
      </w:r>
    </w:p>
    <w:p w14:paraId="62D812AA">
      <w:pPr>
        <w:spacing w:line="460" w:lineRule="exact"/>
        <w:ind w:firstLine="480" w:firstLineChars="200"/>
        <w:jc w:val="left"/>
        <w:rPr>
          <w:rFonts w:hint="eastAsia" w:ascii="宋体" w:hAnsi="宋体"/>
          <w:sz w:val="24"/>
        </w:rPr>
      </w:pPr>
      <w:r>
        <w:rPr>
          <w:rFonts w:ascii="宋体" w:hAnsi="宋体"/>
          <w:sz w:val="24"/>
        </w:rPr>
        <w:t xml:space="preserve">4. </w:t>
      </w:r>
      <w:r>
        <w:rPr>
          <w:rFonts w:hint="eastAsia" w:ascii="宋体" w:hAnsi="宋体"/>
          <w:sz w:val="24"/>
        </w:rPr>
        <w:t>由于厂家授权变更等原因，乙方目前在供的部分或全部产品，需要变更供应商的，由乙方、上级授权经销商、生产厂家提出申请，经甲方同意后方可进行变更。</w:t>
      </w:r>
    </w:p>
    <w:p w14:paraId="2564855E">
      <w:pPr>
        <w:spacing w:line="460" w:lineRule="exact"/>
        <w:ind w:firstLine="480" w:firstLineChars="200"/>
        <w:jc w:val="left"/>
        <w:rPr>
          <w:rFonts w:ascii="宋体" w:hAnsi="宋体"/>
          <w:sz w:val="24"/>
        </w:rPr>
      </w:pPr>
      <w:r>
        <w:rPr>
          <w:rFonts w:ascii="宋体" w:hAnsi="宋体"/>
          <w:sz w:val="24"/>
        </w:rPr>
        <w:t>5</w:t>
      </w:r>
      <w:r>
        <w:rPr>
          <w:rFonts w:hint="eastAsia" w:ascii="宋体" w:hAnsi="宋体"/>
          <w:sz w:val="24"/>
        </w:rPr>
        <w:t>. 乙方违反本合同第九、十、十一条款的，按有关规定终止合同。</w:t>
      </w:r>
    </w:p>
    <w:p w14:paraId="612C27E7">
      <w:pPr>
        <w:spacing w:line="460" w:lineRule="exact"/>
        <w:ind w:firstLine="480" w:firstLineChars="200"/>
        <w:jc w:val="left"/>
        <w:rPr>
          <w:rFonts w:ascii="宋体" w:hAnsi="宋体"/>
          <w:sz w:val="24"/>
        </w:rPr>
      </w:pPr>
      <w:r>
        <w:rPr>
          <w:rFonts w:ascii="宋体" w:hAnsi="宋体"/>
          <w:sz w:val="24"/>
        </w:rPr>
        <w:t>6</w:t>
      </w:r>
      <w:r>
        <w:rPr>
          <w:rFonts w:hint="eastAsia" w:ascii="宋体" w:hAnsi="宋体"/>
          <w:sz w:val="24"/>
        </w:rPr>
        <w:t>. 相关主管部门认定一方合同履行中有商业贿赂不良记录等违法行为。</w:t>
      </w:r>
    </w:p>
    <w:p w14:paraId="0346FD0C">
      <w:pPr>
        <w:spacing w:line="460" w:lineRule="exact"/>
        <w:ind w:firstLine="480" w:firstLineChars="200"/>
        <w:jc w:val="left"/>
        <w:rPr>
          <w:rFonts w:ascii="宋体" w:hAnsi="宋体"/>
          <w:sz w:val="24"/>
        </w:rPr>
      </w:pPr>
      <w:r>
        <w:rPr>
          <w:rFonts w:ascii="宋体" w:hAnsi="宋体"/>
          <w:sz w:val="24"/>
        </w:rPr>
        <w:t>7</w:t>
      </w:r>
      <w:r>
        <w:rPr>
          <w:rFonts w:hint="eastAsia" w:ascii="宋体" w:hAnsi="宋体"/>
          <w:sz w:val="24"/>
        </w:rPr>
        <w:t>. 甲乙一方明确表示或者以自己的行为表明不履行合同义务的，对方可以在履行期限届满之前要求其承担违约责任。</w:t>
      </w:r>
    </w:p>
    <w:p w14:paraId="360E1D86">
      <w:pPr>
        <w:spacing w:line="460" w:lineRule="exact"/>
        <w:jc w:val="left"/>
        <w:rPr>
          <w:rFonts w:ascii="宋体" w:hAnsi="宋体"/>
          <w:b/>
          <w:sz w:val="24"/>
        </w:rPr>
      </w:pPr>
      <w:r>
        <w:rPr>
          <w:rFonts w:ascii="宋体" w:hAnsi="宋体"/>
          <w:b/>
          <w:sz w:val="24"/>
        </w:rPr>
        <w:t>十五、</w:t>
      </w:r>
      <w:r>
        <w:rPr>
          <w:rFonts w:hint="eastAsia" w:ascii="宋体" w:hAnsi="宋体"/>
          <w:b/>
          <w:sz w:val="24"/>
        </w:rPr>
        <w:t xml:space="preserve"> </w:t>
      </w:r>
      <w:r>
        <w:rPr>
          <w:rFonts w:ascii="宋体" w:hAnsi="宋体"/>
          <w:b/>
          <w:sz w:val="24"/>
        </w:rPr>
        <w:t>合同生效及其它</w:t>
      </w:r>
    </w:p>
    <w:p w14:paraId="133F9333">
      <w:pPr>
        <w:numPr>
          <w:ilvl w:val="0"/>
          <w:numId w:val="12"/>
        </w:numPr>
        <w:spacing w:line="460" w:lineRule="exact"/>
        <w:jc w:val="left"/>
        <w:rPr>
          <w:rFonts w:hint="eastAsia" w:ascii="宋体" w:hAnsi="宋体"/>
          <w:sz w:val="24"/>
        </w:rPr>
      </w:pPr>
      <w:r>
        <w:rPr>
          <w:rFonts w:ascii="宋体" w:hAnsi="宋体"/>
          <w:sz w:val="24"/>
        </w:rPr>
        <w:t>合同经双方法定代表人或授权代表签字并加盖单位公章后生效。</w:t>
      </w:r>
    </w:p>
    <w:p w14:paraId="562E87BF">
      <w:pPr>
        <w:numPr>
          <w:ilvl w:val="0"/>
          <w:numId w:val="12"/>
        </w:numPr>
        <w:spacing w:line="460" w:lineRule="exact"/>
        <w:jc w:val="left"/>
        <w:rPr>
          <w:rFonts w:hint="eastAsia" w:ascii="宋体" w:hAnsi="宋体"/>
          <w:sz w:val="24"/>
        </w:rPr>
      </w:pPr>
      <w:r>
        <w:rPr>
          <w:rFonts w:ascii="宋体" w:hAnsi="宋体"/>
          <w:sz w:val="24"/>
        </w:rPr>
        <w:t>本合同未尽事宜，以双方协商为准。</w:t>
      </w:r>
      <w:r>
        <w:rPr>
          <w:rFonts w:hint="eastAsia" w:ascii="宋体" w:hAnsi="宋体"/>
          <w:sz w:val="24"/>
          <w:lang w:val="en-US" w:eastAsia="zh-CN"/>
        </w:rPr>
        <w:t>本合同履行过程中如需变更合同内容，双方应签订书面补充协议，补充协议与本合同具有同等法律效力。</w:t>
      </w:r>
    </w:p>
    <w:p w14:paraId="7532706D">
      <w:pPr>
        <w:numPr>
          <w:ilvl w:val="0"/>
          <w:numId w:val="12"/>
        </w:numPr>
        <w:spacing w:line="460" w:lineRule="exact"/>
        <w:jc w:val="left"/>
        <w:rPr>
          <w:rFonts w:ascii="宋体" w:hAnsi="宋体"/>
          <w:sz w:val="24"/>
        </w:rPr>
      </w:pPr>
      <w:r>
        <w:rPr>
          <w:rFonts w:ascii="宋体" w:hAnsi="宋体"/>
          <w:sz w:val="24"/>
        </w:rPr>
        <w:t>本合同正本一式四份，具有同等法律效力，甲方执三份，乙方执一份。</w:t>
      </w:r>
    </w:p>
    <w:p w14:paraId="24B21218">
      <w:pPr>
        <w:spacing w:line="460" w:lineRule="exact"/>
        <w:ind w:left="840"/>
        <w:jc w:val="left"/>
        <w:rPr>
          <w:rFonts w:hint="eastAsia" w:ascii="宋体" w:hAnsi="宋体"/>
          <w:sz w:val="24"/>
        </w:rPr>
      </w:pPr>
    </w:p>
    <w:p w14:paraId="7F651721">
      <w:pPr>
        <w:spacing w:line="460" w:lineRule="exact"/>
        <w:rPr>
          <w:rFonts w:ascii="宋体" w:hAnsi="宋体"/>
        </w:rPr>
      </w:pPr>
    </w:p>
    <w:p w14:paraId="166057B9">
      <w:pPr>
        <w:spacing w:line="480" w:lineRule="auto"/>
        <w:rPr>
          <w:rFonts w:ascii="宋体" w:hAnsi="宋体"/>
          <w:sz w:val="24"/>
        </w:rPr>
      </w:pPr>
      <w:r>
        <w:rPr>
          <w:rFonts w:hint="eastAsia" w:ascii="宋体" w:hAnsi="宋体"/>
          <w:sz w:val="24"/>
        </w:rPr>
        <w:t xml:space="preserve">甲方：浙江医院 </w:t>
      </w:r>
      <w:r>
        <w:rPr>
          <w:rFonts w:ascii="宋体" w:hAnsi="宋体"/>
          <w:sz w:val="24"/>
        </w:rPr>
        <w:t xml:space="preserve">         </w:t>
      </w:r>
      <w:r>
        <w:rPr>
          <w:rFonts w:hint="eastAsia" w:ascii="宋体" w:hAnsi="宋体"/>
          <w:sz w:val="24"/>
        </w:rPr>
        <w:t xml:space="preserve">                  乙方：</w:t>
      </w:r>
    </w:p>
    <w:p w14:paraId="12A8CC5E">
      <w:pPr>
        <w:spacing w:line="480" w:lineRule="auto"/>
        <w:rPr>
          <w:rFonts w:ascii="宋体" w:hAnsi="宋体"/>
          <w:sz w:val="24"/>
        </w:rPr>
      </w:pPr>
      <w:r>
        <w:rPr>
          <w:rFonts w:hint="eastAsia" w:ascii="宋体" w:hAnsi="宋体"/>
          <w:sz w:val="24"/>
        </w:rPr>
        <w:t>地址：杭州市灵隐路1</w:t>
      </w:r>
      <w:r>
        <w:rPr>
          <w:rFonts w:ascii="宋体" w:hAnsi="宋体"/>
          <w:sz w:val="24"/>
        </w:rPr>
        <w:t>2号</w:t>
      </w:r>
      <w:r>
        <w:rPr>
          <w:rFonts w:hint="eastAsia" w:ascii="宋体" w:hAnsi="宋体"/>
          <w:sz w:val="24"/>
        </w:rPr>
        <w:t xml:space="preserve"> </w:t>
      </w:r>
      <w:r>
        <w:rPr>
          <w:rFonts w:ascii="宋体" w:hAnsi="宋体"/>
          <w:sz w:val="24"/>
        </w:rPr>
        <w:t xml:space="preserve">                  </w:t>
      </w:r>
      <w:r>
        <w:rPr>
          <w:rFonts w:hint="eastAsia" w:ascii="宋体" w:hAnsi="宋体"/>
          <w:sz w:val="24"/>
        </w:rPr>
        <w:t>地址：</w:t>
      </w:r>
    </w:p>
    <w:p w14:paraId="16C5E564">
      <w:pPr>
        <w:spacing w:line="480" w:lineRule="auto"/>
        <w:rPr>
          <w:rFonts w:ascii="宋体" w:hAnsi="宋体"/>
          <w:sz w:val="24"/>
        </w:rPr>
      </w:pPr>
      <w:r>
        <w:rPr>
          <w:rFonts w:hint="eastAsia" w:ascii="宋体" w:hAnsi="宋体"/>
          <w:sz w:val="24"/>
        </w:rPr>
        <w:t xml:space="preserve">法定（授权）代表人： </w:t>
      </w:r>
      <w:r>
        <w:rPr>
          <w:rFonts w:ascii="宋体" w:hAnsi="宋体"/>
          <w:sz w:val="24"/>
        </w:rPr>
        <w:t xml:space="preserve">                     </w:t>
      </w:r>
      <w:r>
        <w:rPr>
          <w:rFonts w:hint="eastAsia" w:ascii="宋体" w:hAnsi="宋体"/>
          <w:sz w:val="24"/>
        </w:rPr>
        <w:t>法定（授权）代表人：</w:t>
      </w:r>
    </w:p>
    <w:p w14:paraId="5A6A7E0E">
      <w:pPr>
        <w:spacing w:line="480" w:lineRule="auto"/>
        <w:rPr>
          <w:rFonts w:ascii="宋体" w:hAnsi="宋体"/>
          <w:sz w:val="24"/>
        </w:rPr>
      </w:pPr>
      <w:r>
        <w:rPr>
          <w:rFonts w:hint="eastAsia" w:ascii="宋体" w:hAnsi="宋体"/>
          <w:sz w:val="24"/>
        </w:rPr>
        <w:t>签字日期：</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日 </w:t>
      </w:r>
      <w:r>
        <w:rPr>
          <w:rFonts w:ascii="宋体" w:hAnsi="宋体"/>
          <w:sz w:val="24"/>
        </w:rPr>
        <w:t xml:space="preserve">            </w:t>
      </w:r>
      <w:r>
        <w:rPr>
          <w:rFonts w:hint="eastAsia" w:ascii="宋体" w:hAnsi="宋体"/>
          <w:sz w:val="24"/>
        </w:rPr>
        <w:t xml:space="preserve">签字日期：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p w14:paraId="4FAE9393">
      <w:pPr>
        <w:spacing w:line="480" w:lineRule="auto"/>
        <w:rPr>
          <w:rFonts w:hint="eastAsia" w:ascii="宋体" w:hAnsi="宋体"/>
          <w:sz w:val="24"/>
        </w:rPr>
      </w:pPr>
    </w:p>
    <w:p w14:paraId="4CE6E86D">
      <w:pPr>
        <w:spacing w:line="480" w:lineRule="auto"/>
        <w:rPr>
          <w:rFonts w:hint="eastAsia" w:ascii="宋体" w:hAnsi="宋体"/>
          <w:sz w:val="24"/>
        </w:rPr>
        <w:sectPr>
          <w:footerReference r:id="rId3" w:type="default"/>
          <w:pgSz w:w="11906" w:h="16838"/>
          <w:pgMar w:top="1440" w:right="1800" w:bottom="1440" w:left="1800" w:header="851" w:footer="992" w:gutter="0"/>
          <w:cols w:space="720" w:num="1"/>
          <w:docGrid w:type="lines" w:linePitch="312" w:charSpace="0"/>
        </w:sectPr>
      </w:pPr>
    </w:p>
    <w:p w14:paraId="13EC93AB">
      <w:pPr>
        <w:spacing w:line="360" w:lineRule="auto"/>
        <w:ind w:right="2160"/>
        <w:jc w:val="left"/>
        <w:rPr>
          <w:rFonts w:ascii="宋体" w:hAnsi="宋体"/>
          <w:sz w:val="32"/>
        </w:rPr>
      </w:pPr>
      <w:r>
        <w:rPr>
          <w:rFonts w:hint="eastAsia" w:ascii="宋体" w:hAnsi="宋体"/>
          <w:sz w:val="32"/>
        </w:rPr>
        <w:t>附件</w:t>
      </w:r>
    </w:p>
    <w:p w14:paraId="20B5A397">
      <w:pPr>
        <w:spacing w:line="360" w:lineRule="auto"/>
        <w:ind w:right="2160"/>
        <w:jc w:val="center"/>
        <w:rPr>
          <w:rFonts w:hint="eastAsia" w:ascii="宋体" w:hAnsi="宋体"/>
          <w:sz w:val="40"/>
        </w:rPr>
      </w:pPr>
      <w:r>
        <w:rPr>
          <w:rFonts w:ascii="宋体" w:hAnsi="宋体"/>
          <w:sz w:val="40"/>
        </w:rPr>
        <w:t>供货产品明细表</w:t>
      </w:r>
    </w:p>
    <w:tbl>
      <w:tblPr>
        <w:tblStyle w:val="12"/>
        <w:tblW w:w="9977"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275"/>
        <w:gridCol w:w="985"/>
        <w:gridCol w:w="985"/>
        <w:gridCol w:w="985"/>
        <w:gridCol w:w="1025"/>
        <w:gridCol w:w="985"/>
        <w:gridCol w:w="985"/>
        <w:gridCol w:w="1125"/>
      </w:tblGrid>
      <w:tr w14:paraId="13B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41BD4677">
            <w:pPr>
              <w:spacing w:line="360" w:lineRule="auto"/>
              <w:jc w:val="center"/>
              <w:rPr>
                <w:rFonts w:ascii="宋体" w:hAnsi="宋体"/>
                <w:b/>
                <w:sz w:val="24"/>
              </w:rPr>
            </w:pPr>
            <w:r>
              <w:rPr>
                <w:rFonts w:ascii="宋体" w:hAnsi="宋体"/>
                <w:b/>
                <w:sz w:val="24"/>
              </w:rPr>
              <w:t>序号</w:t>
            </w:r>
          </w:p>
        </w:tc>
        <w:tc>
          <w:tcPr>
            <w:tcW w:w="2275" w:type="dxa"/>
            <w:noWrap/>
            <w:tcMar>
              <w:left w:w="0" w:type="dxa"/>
              <w:right w:w="0" w:type="dxa"/>
            </w:tcMar>
            <w:vAlign w:val="center"/>
          </w:tcPr>
          <w:p w14:paraId="0A0E0EF5">
            <w:pPr>
              <w:widowControl/>
              <w:jc w:val="center"/>
              <w:rPr>
                <w:b/>
                <w:bCs/>
                <w:color w:val="000000"/>
                <w:sz w:val="22"/>
              </w:rPr>
            </w:pPr>
            <w:r>
              <w:rPr>
                <w:rFonts w:hint="eastAsia"/>
                <w:b/>
                <w:bCs/>
                <w:color w:val="000000"/>
                <w:sz w:val="22"/>
              </w:rPr>
              <w:t>物资名称</w:t>
            </w:r>
          </w:p>
        </w:tc>
        <w:tc>
          <w:tcPr>
            <w:tcW w:w="985" w:type="dxa"/>
            <w:noWrap/>
            <w:tcMar>
              <w:left w:w="0" w:type="dxa"/>
              <w:right w:w="0" w:type="dxa"/>
            </w:tcMar>
            <w:vAlign w:val="center"/>
          </w:tcPr>
          <w:p w14:paraId="70C628FE">
            <w:pPr>
              <w:jc w:val="center"/>
              <w:rPr>
                <w:b/>
                <w:bCs/>
                <w:color w:val="000000"/>
                <w:sz w:val="22"/>
              </w:rPr>
            </w:pPr>
            <w:r>
              <w:rPr>
                <w:rFonts w:hint="eastAsia"/>
                <w:b/>
                <w:bCs/>
                <w:color w:val="000000"/>
                <w:sz w:val="22"/>
              </w:rPr>
              <w:t>规格型号</w:t>
            </w:r>
          </w:p>
        </w:tc>
        <w:tc>
          <w:tcPr>
            <w:tcW w:w="985" w:type="dxa"/>
            <w:noWrap/>
            <w:tcMar>
              <w:left w:w="0" w:type="dxa"/>
              <w:right w:w="0" w:type="dxa"/>
            </w:tcMar>
            <w:vAlign w:val="center"/>
          </w:tcPr>
          <w:p w14:paraId="5B9E19BB">
            <w:pPr>
              <w:jc w:val="center"/>
              <w:rPr>
                <w:b/>
                <w:bCs/>
                <w:color w:val="000000"/>
                <w:sz w:val="22"/>
              </w:rPr>
            </w:pPr>
            <w:r>
              <w:rPr>
                <w:rFonts w:hint="eastAsia"/>
                <w:b/>
                <w:bCs/>
                <w:color w:val="000000"/>
                <w:sz w:val="22"/>
              </w:rPr>
              <w:t>品牌</w:t>
            </w:r>
          </w:p>
        </w:tc>
        <w:tc>
          <w:tcPr>
            <w:tcW w:w="985" w:type="dxa"/>
            <w:noWrap/>
            <w:tcMar>
              <w:left w:w="0" w:type="dxa"/>
              <w:right w:w="0" w:type="dxa"/>
            </w:tcMar>
            <w:vAlign w:val="center"/>
          </w:tcPr>
          <w:p w14:paraId="663631D8">
            <w:pPr>
              <w:jc w:val="center"/>
              <w:rPr>
                <w:b/>
                <w:bCs/>
                <w:color w:val="000000"/>
                <w:sz w:val="22"/>
              </w:rPr>
            </w:pPr>
            <w:r>
              <w:rPr>
                <w:rFonts w:hint="eastAsia"/>
                <w:b/>
                <w:bCs/>
                <w:color w:val="000000"/>
                <w:sz w:val="22"/>
              </w:rPr>
              <w:t>单位</w:t>
            </w:r>
          </w:p>
        </w:tc>
        <w:tc>
          <w:tcPr>
            <w:tcW w:w="1025" w:type="dxa"/>
            <w:noWrap/>
            <w:tcMar>
              <w:left w:w="0" w:type="dxa"/>
              <w:right w:w="0" w:type="dxa"/>
            </w:tcMar>
            <w:vAlign w:val="center"/>
          </w:tcPr>
          <w:p w14:paraId="56DC7C75">
            <w:pPr>
              <w:jc w:val="center"/>
              <w:rPr>
                <w:b/>
                <w:bCs/>
                <w:color w:val="000000"/>
                <w:sz w:val="22"/>
              </w:rPr>
            </w:pPr>
            <w:r>
              <w:rPr>
                <w:rFonts w:hint="eastAsia"/>
                <w:b/>
                <w:bCs/>
                <w:color w:val="000000"/>
                <w:sz w:val="22"/>
              </w:rPr>
              <w:t>单价（元）</w:t>
            </w:r>
          </w:p>
        </w:tc>
        <w:tc>
          <w:tcPr>
            <w:tcW w:w="985" w:type="dxa"/>
            <w:noWrap/>
            <w:tcMar>
              <w:left w:w="0" w:type="dxa"/>
              <w:right w:w="0" w:type="dxa"/>
            </w:tcMar>
            <w:vAlign w:val="center"/>
          </w:tcPr>
          <w:p w14:paraId="7FEC74AA">
            <w:pPr>
              <w:jc w:val="center"/>
              <w:rPr>
                <w:b/>
                <w:bCs/>
                <w:color w:val="000000"/>
                <w:sz w:val="22"/>
              </w:rPr>
            </w:pPr>
            <w:r>
              <w:rPr>
                <w:rFonts w:hint="eastAsia"/>
                <w:b/>
                <w:bCs/>
                <w:color w:val="000000"/>
                <w:sz w:val="22"/>
              </w:rPr>
              <w:t>注册证编号</w:t>
            </w:r>
          </w:p>
        </w:tc>
        <w:tc>
          <w:tcPr>
            <w:tcW w:w="985" w:type="dxa"/>
            <w:noWrap/>
            <w:tcMar>
              <w:left w:w="0" w:type="dxa"/>
              <w:right w:w="0" w:type="dxa"/>
            </w:tcMar>
            <w:vAlign w:val="center"/>
          </w:tcPr>
          <w:p w14:paraId="080F1FE8">
            <w:pPr>
              <w:jc w:val="center"/>
              <w:rPr>
                <w:b/>
                <w:bCs/>
                <w:color w:val="000000"/>
                <w:sz w:val="22"/>
              </w:rPr>
            </w:pPr>
            <w:r>
              <w:rPr>
                <w:rFonts w:hint="eastAsia"/>
                <w:b/>
                <w:bCs/>
                <w:color w:val="000000"/>
                <w:sz w:val="22"/>
              </w:rPr>
              <w:t>平台代码</w:t>
            </w:r>
          </w:p>
        </w:tc>
        <w:tc>
          <w:tcPr>
            <w:tcW w:w="1125" w:type="dxa"/>
            <w:noWrap w:val="0"/>
            <w:vAlign w:val="center"/>
          </w:tcPr>
          <w:p w14:paraId="602E1DFE">
            <w:pPr>
              <w:jc w:val="center"/>
              <w:rPr>
                <w:b/>
                <w:bCs/>
                <w:color w:val="000000"/>
                <w:sz w:val="22"/>
              </w:rPr>
            </w:pPr>
            <w:r>
              <w:rPr>
                <w:rFonts w:hint="eastAsia"/>
                <w:b/>
                <w:bCs/>
                <w:color w:val="000000"/>
                <w:sz w:val="22"/>
              </w:rPr>
              <w:t>耗材统一编码</w:t>
            </w:r>
          </w:p>
        </w:tc>
      </w:tr>
      <w:tr w14:paraId="40A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34C18D55">
            <w:pPr>
              <w:spacing w:line="360" w:lineRule="auto"/>
              <w:jc w:val="center"/>
              <w:rPr>
                <w:rFonts w:ascii="宋体" w:hAnsi="宋体"/>
                <w:sz w:val="24"/>
              </w:rPr>
            </w:pPr>
            <w:r>
              <w:rPr>
                <w:rFonts w:hint="eastAsia" w:ascii="宋体" w:hAnsi="宋体"/>
                <w:sz w:val="24"/>
              </w:rPr>
              <w:t>1</w:t>
            </w:r>
          </w:p>
        </w:tc>
        <w:tc>
          <w:tcPr>
            <w:tcW w:w="2275" w:type="dxa"/>
            <w:noWrap/>
            <w:tcMar>
              <w:left w:w="0" w:type="dxa"/>
              <w:right w:w="0" w:type="dxa"/>
            </w:tcMar>
            <w:vAlign w:val="center"/>
          </w:tcPr>
          <w:p w14:paraId="5DD9785E">
            <w:pPr>
              <w:spacing w:line="360" w:lineRule="auto"/>
              <w:jc w:val="left"/>
              <w:rPr>
                <w:rFonts w:ascii="宋体" w:hAnsi="宋体"/>
                <w:sz w:val="24"/>
              </w:rPr>
            </w:pPr>
          </w:p>
        </w:tc>
        <w:tc>
          <w:tcPr>
            <w:tcW w:w="985" w:type="dxa"/>
            <w:noWrap/>
            <w:tcMar>
              <w:left w:w="0" w:type="dxa"/>
              <w:right w:w="0" w:type="dxa"/>
            </w:tcMar>
            <w:vAlign w:val="center"/>
          </w:tcPr>
          <w:p w14:paraId="0488DCF3">
            <w:pPr>
              <w:spacing w:line="360" w:lineRule="auto"/>
              <w:jc w:val="left"/>
              <w:rPr>
                <w:rFonts w:ascii="宋体" w:hAnsi="宋体"/>
                <w:sz w:val="24"/>
              </w:rPr>
            </w:pPr>
          </w:p>
        </w:tc>
        <w:tc>
          <w:tcPr>
            <w:tcW w:w="985" w:type="dxa"/>
            <w:noWrap/>
            <w:tcMar>
              <w:left w:w="0" w:type="dxa"/>
              <w:right w:w="0" w:type="dxa"/>
            </w:tcMar>
            <w:vAlign w:val="center"/>
          </w:tcPr>
          <w:p w14:paraId="2857B8A4">
            <w:pPr>
              <w:spacing w:line="360" w:lineRule="auto"/>
              <w:jc w:val="left"/>
              <w:rPr>
                <w:rFonts w:ascii="宋体" w:hAnsi="宋体"/>
                <w:sz w:val="24"/>
              </w:rPr>
            </w:pPr>
          </w:p>
        </w:tc>
        <w:tc>
          <w:tcPr>
            <w:tcW w:w="985" w:type="dxa"/>
            <w:noWrap/>
            <w:tcMar>
              <w:left w:w="0" w:type="dxa"/>
              <w:right w:w="0" w:type="dxa"/>
            </w:tcMar>
            <w:vAlign w:val="center"/>
          </w:tcPr>
          <w:p w14:paraId="6E0B760F">
            <w:pPr>
              <w:spacing w:line="360" w:lineRule="auto"/>
              <w:jc w:val="left"/>
              <w:rPr>
                <w:rFonts w:ascii="宋体" w:hAnsi="宋体"/>
                <w:sz w:val="24"/>
              </w:rPr>
            </w:pPr>
          </w:p>
        </w:tc>
        <w:tc>
          <w:tcPr>
            <w:tcW w:w="1025" w:type="dxa"/>
            <w:noWrap/>
            <w:tcMar>
              <w:left w:w="0" w:type="dxa"/>
              <w:right w:w="0" w:type="dxa"/>
            </w:tcMar>
            <w:vAlign w:val="center"/>
          </w:tcPr>
          <w:p w14:paraId="722AAD05">
            <w:pPr>
              <w:spacing w:line="360" w:lineRule="auto"/>
              <w:jc w:val="left"/>
              <w:rPr>
                <w:rFonts w:ascii="宋体" w:hAnsi="宋体"/>
                <w:sz w:val="24"/>
              </w:rPr>
            </w:pPr>
          </w:p>
        </w:tc>
        <w:tc>
          <w:tcPr>
            <w:tcW w:w="985" w:type="dxa"/>
            <w:noWrap/>
            <w:tcMar>
              <w:left w:w="0" w:type="dxa"/>
              <w:right w:w="0" w:type="dxa"/>
            </w:tcMar>
            <w:vAlign w:val="center"/>
          </w:tcPr>
          <w:p w14:paraId="5EF397F8">
            <w:pPr>
              <w:spacing w:line="360" w:lineRule="auto"/>
              <w:jc w:val="left"/>
              <w:rPr>
                <w:rFonts w:ascii="宋体" w:hAnsi="宋体"/>
                <w:sz w:val="24"/>
              </w:rPr>
            </w:pPr>
          </w:p>
        </w:tc>
        <w:tc>
          <w:tcPr>
            <w:tcW w:w="985" w:type="dxa"/>
            <w:noWrap/>
            <w:tcMar>
              <w:left w:w="0" w:type="dxa"/>
              <w:right w:w="0" w:type="dxa"/>
            </w:tcMar>
            <w:vAlign w:val="center"/>
          </w:tcPr>
          <w:p w14:paraId="2DF1FD58">
            <w:pPr>
              <w:spacing w:line="360" w:lineRule="auto"/>
              <w:jc w:val="left"/>
              <w:rPr>
                <w:rFonts w:ascii="宋体" w:hAnsi="宋体"/>
                <w:sz w:val="24"/>
              </w:rPr>
            </w:pPr>
          </w:p>
        </w:tc>
        <w:tc>
          <w:tcPr>
            <w:tcW w:w="1125" w:type="dxa"/>
            <w:noWrap w:val="0"/>
            <w:vAlign w:val="top"/>
          </w:tcPr>
          <w:p w14:paraId="1BD18272">
            <w:pPr>
              <w:spacing w:line="360" w:lineRule="auto"/>
              <w:jc w:val="left"/>
              <w:rPr>
                <w:rFonts w:ascii="宋体" w:hAnsi="宋体"/>
                <w:sz w:val="24"/>
              </w:rPr>
            </w:pPr>
          </w:p>
        </w:tc>
      </w:tr>
      <w:tr w14:paraId="5F28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60AA8769">
            <w:pPr>
              <w:spacing w:line="360" w:lineRule="auto"/>
              <w:jc w:val="center"/>
              <w:rPr>
                <w:rFonts w:ascii="宋体" w:hAnsi="宋体"/>
                <w:sz w:val="24"/>
              </w:rPr>
            </w:pPr>
            <w:r>
              <w:rPr>
                <w:rFonts w:hint="eastAsia" w:ascii="宋体" w:hAnsi="宋体"/>
                <w:sz w:val="24"/>
              </w:rPr>
              <w:t>2</w:t>
            </w:r>
          </w:p>
        </w:tc>
        <w:tc>
          <w:tcPr>
            <w:tcW w:w="2275" w:type="dxa"/>
            <w:noWrap/>
            <w:tcMar>
              <w:left w:w="0" w:type="dxa"/>
              <w:right w:w="0" w:type="dxa"/>
            </w:tcMar>
            <w:vAlign w:val="center"/>
          </w:tcPr>
          <w:p w14:paraId="7C23A248">
            <w:pPr>
              <w:spacing w:line="360" w:lineRule="auto"/>
              <w:jc w:val="left"/>
              <w:rPr>
                <w:rFonts w:ascii="宋体" w:hAnsi="宋体"/>
                <w:sz w:val="24"/>
              </w:rPr>
            </w:pPr>
          </w:p>
        </w:tc>
        <w:tc>
          <w:tcPr>
            <w:tcW w:w="985" w:type="dxa"/>
            <w:noWrap/>
            <w:tcMar>
              <w:left w:w="0" w:type="dxa"/>
              <w:right w:w="0" w:type="dxa"/>
            </w:tcMar>
            <w:vAlign w:val="center"/>
          </w:tcPr>
          <w:p w14:paraId="67F709E0">
            <w:pPr>
              <w:spacing w:line="360" w:lineRule="auto"/>
              <w:jc w:val="left"/>
              <w:rPr>
                <w:rFonts w:ascii="宋体" w:hAnsi="宋体"/>
                <w:sz w:val="24"/>
              </w:rPr>
            </w:pPr>
          </w:p>
        </w:tc>
        <w:tc>
          <w:tcPr>
            <w:tcW w:w="985" w:type="dxa"/>
            <w:noWrap/>
            <w:tcMar>
              <w:left w:w="0" w:type="dxa"/>
              <w:right w:w="0" w:type="dxa"/>
            </w:tcMar>
            <w:vAlign w:val="center"/>
          </w:tcPr>
          <w:p w14:paraId="114A841E">
            <w:pPr>
              <w:spacing w:line="360" w:lineRule="auto"/>
              <w:jc w:val="left"/>
              <w:rPr>
                <w:rFonts w:ascii="宋体" w:hAnsi="宋体"/>
                <w:sz w:val="24"/>
              </w:rPr>
            </w:pPr>
          </w:p>
        </w:tc>
        <w:tc>
          <w:tcPr>
            <w:tcW w:w="985" w:type="dxa"/>
            <w:noWrap/>
            <w:tcMar>
              <w:left w:w="0" w:type="dxa"/>
              <w:right w:w="0" w:type="dxa"/>
            </w:tcMar>
            <w:vAlign w:val="center"/>
          </w:tcPr>
          <w:p w14:paraId="0499207B">
            <w:pPr>
              <w:spacing w:line="360" w:lineRule="auto"/>
              <w:jc w:val="left"/>
              <w:rPr>
                <w:rFonts w:ascii="宋体" w:hAnsi="宋体"/>
                <w:sz w:val="24"/>
              </w:rPr>
            </w:pPr>
          </w:p>
        </w:tc>
        <w:tc>
          <w:tcPr>
            <w:tcW w:w="1025" w:type="dxa"/>
            <w:noWrap/>
            <w:tcMar>
              <w:left w:w="0" w:type="dxa"/>
              <w:right w:w="0" w:type="dxa"/>
            </w:tcMar>
            <w:vAlign w:val="center"/>
          </w:tcPr>
          <w:p w14:paraId="1964FFB4">
            <w:pPr>
              <w:spacing w:line="360" w:lineRule="auto"/>
              <w:jc w:val="left"/>
              <w:rPr>
                <w:rFonts w:ascii="宋体" w:hAnsi="宋体"/>
                <w:sz w:val="24"/>
              </w:rPr>
            </w:pPr>
          </w:p>
        </w:tc>
        <w:tc>
          <w:tcPr>
            <w:tcW w:w="985" w:type="dxa"/>
            <w:noWrap/>
            <w:tcMar>
              <w:left w:w="0" w:type="dxa"/>
              <w:right w:w="0" w:type="dxa"/>
            </w:tcMar>
            <w:vAlign w:val="center"/>
          </w:tcPr>
          <w:p w14:paraId="7D18F523">
            <w:pPr>
              <w:spacing w:line="360" w:lineRule="auto"/>
              <w:jc w:val="left"/>
              <w:rPr>
                <w:rFonts w:ascii="宋体" w:hAnsi="宋体"/>
                <w:sz w:val="24"/>
              </w:rPr>
            </w:pPr>
          </w:p>
        </w:tc>
        <w:tc>
          <w:tcPr>
            <w:tcW w:w="985" w:type="dxa"/>
            <w:noWrap/>
            <w:tcMar>
              <w:left w:w="0" w:type="dxa"/>
              <w:right w:w="0" w:type="dxa"/>
            </w:tcMar>
            <w:vAlign w:val="center"/>
          </w:tcPr>
          <w:p w14:paraId="24D0544B">
            <w:pPr>
              <w:spacing w:line="360" w:lineRule="auto"/>
              <w:jc w:val="left"/>
              <w:rPr>
                <w:rFonts w:ascii="宋体" w:hAnsi="宋体"/>
                <w:sz w:val="24"/>
              </w:rPr>
            </w:pPr>
          </w:p>
        </w:tc>
        <w:tc>
          <w:tcPr>
            <w:tcW w:w="1125" w:type="dxa"/>
            <w:noWrap w:val="0"/>
            <w:vAlign w:val="top"/>
          </w:tcPr>
          <w:p w14:paraId="119B5EF9">
            <w:pPr>
              <w:spacing w:line="360" w:lineRule="auto"/>
              <w:jc w:val="left"/>
              <w:rPr>
                <w:rFonts w:ascii="宋体" w:hAnsi="宋体"/>
                <w:sz w:val="24"/>
              </w:rPr>
            </w:pPr>
          </w:p>
        </w:tc>
      </w:tr>
      <w:tr w14:paraId="76C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27" w:type="dxa"/>
            <w:noWrap/>
            <w:tcMar>
              <w:left w:w="0" w:type="dxa"/>
              <w:right w:w="0" w:type="dxa"/>
            </w:tcMar>
            <w:vAlign w:val="center"/>
          </w:tcPr>
          <w:p w14:paraId="1CE3BFC2">
            <w:pPr>
              <w:spacing w:line="360" w:lineRule="auto"/>
              <w:jc w:val="center"/>
              <w:rPr>
                <w:rFonts w:ascii="宋体" w:hAnsi="宋体"/>
                <w:sz w:val="24"/>
              </w:rPr>
            </w:pPr>
            <w:r>
              <w:rPr>
                <w:rFonts w:hint="eastAsia" w:ascii="宋体" w:hAnsi="宋体"/>
                <w:sz w:val="24"/>
              </w:rPr>
              <w:t>3</w:t>
            </w:r>
          </w:p>
        </w:tc>
        <w:tc>
          <w:tcPr>
            <w:tcW w:w="2275" w:type="dxa"/>
            <w:noWrap/>
            <w:tcMar>
              <w:left w:w="0" w:type="dxa"/>
              <w:right w:w="0" w:type="dxa"/>
            </w:tcMar>
            <w:vAlign w:val="center"/>
          </w:tcPr>
          <w:p w14:paraId="27005B58">
            <w:pPr>
              <w:spacing w:line="360" w:lineRule="auto"/>
              <w:jc w:val="left"/>
              <w:rPr>
                <w:rFonts w:ascii="宋体" w:hAnsi="宋体"/>
                <w:sz w:val="24"/>
              </w:rPr>
            </w:pPr>
          </w:p>
        </w:tc>
        <w:tc>
          <w:tcPr>
            <w:tcW w:w="985" w:type="dxa"/>
            <w:noWrap/>
            <w:tcMar>
              <w:left w:w="0" w:type="dxa"/>
              <w:right w:w="0" w:type="dxa"/>
            </w:tcMar>
            <w:vAlign w:val="center"/>
          </w:tcPr>
          <w:p w14:paraId="76B7C335">
            <w:pPr>
              <w:spacing w:line="360" w:lineRule="auto"/>
              <w:jc w:val="left"/>
              <w:rPr>
                <w:rFonts w:ascii="宋体" w:hAnsi="宋体"/>
                <w:sz w:val="24"/>
              </w:rPr>
            </w:pPr>
          </w:p>
        </w:tc>
        <w:tc>
          <w:tcPr>
            <w:tcW w:w="985" w:type="dxa"/>
            <w:noWrap/>
            <w:tcMar>
              <w:left w:w="0" w:type="dxa"/>
              <w:right w:w="0" w:type="dxa"/>
            </w:tcMar>
            <w:vAlign w:val="center"/>
          </w:tcPr>
          <w:p w14:paraId="1BC73F06">
            <w:pPr>
              <w:spacing w:line="360" w:lineRule="auto"/>
              <w:jc w:val="left"/>
              <w:rPr>
                <w:rFonts w:ascii="宋体" w:hAnsi="宋体"/>
                <w:sz w:val="24"/>
              </w:rPr>
            </w:pPr>
          </w:p>
        </w:tc>
        <w:tc>
          <w:tcPr>
            <w:tcW w:w="985" w:type="dxa"/>
            <w:noWrap/>
            <w:tcMar>
              <w:left w:w="0" w:type="dxa"/>
              <w:right w:w="0" w:type="dxa"/>
            </w:tcMar>
            <w:vAlign w:val="center"/>
          </w:tcPr>
          <w:p w14:paraId="3A80AC46">
            <w:pPr>
              <w:spacing w:line="360" w:lineRule="auto"/>
              <w:jc w:val="left"/>
              <w:rPr>
                <w:rFonts w:ascii="宋体" w:hAnsi="宋体"/>
                <w:sz w:val="24"/>
              </w:rPr>
            </w:pPr>
          </w:p>
        </w:tc>
        <w:tc>
          <w:tcPr>
            <w:tcW w:w="1025" w:type="dxa"/>
            <w:noWrap/>
            <w:tcMar>
              <w:left w:w="0" w:type="dxa"/>
              <w:right w:w="0" w:type="dxa"/>
            </w:tcMar>
            <w:vAlign w:val="center"/>
          </w:tcPr>
          <w:p w14:paraId="703FA307">
            <w:pPr>
              <w:spacing w:line="360" w:lineRule="auto"/>
              <w:jc w:val="left"/>
              <w:rPr>
                <w:rFonts w:ascii="宋体" w:hAnsi="宋体"/>
                <w:sz w:val="24"/>
              </w:rPr>
            </w:pPr>
          </w:p>
        </w:tc>
        <w:tc>
          <w:tcPr>
            <w:tcW w:w="985" w:type="dxa"/>
            <w:noWrap/>
            <w:tcMar>
              <w:left w:w="0" w:type="dxa"/>
              <w:right w:w="0" w:type="dxa"/>
            </w:tcMar>
            <w:vAlign w:val="center"/>
          </w:tcPr>
          <w:p w14:paraId="48F3F47E">
            <w:pPr>
              <w:spacing w:line="360" w:lineRule="auto"/>
              <w:jc w:val="left"/>
              <w:rPr>
                <w:rFonts w:ascii="宋体" w:hAnsi="宋体"/>
                <w:sz w:val="24"/>
              </w:rPr>
            </w:pPr>
          </w:p>
        </w:tc>
        <w:tc>
          <w:tcPr>
            <w:tcW w:w="985" w:type="dxa"/>
            <w:noWrap/>
            <w:tcMar>
              <w:left w:w="0" w:type="dxa"/>
              <w:right w:w="0" w:type="dxa"/>
            </w:tcMar>
            <w:vAlign w:val="center"/>
          </w:tcPr>
          <w:p w14:paraId="49E3BD6D">
            <w:pPr>
              <w:spacing w:line="360" w:lineRule="auto"/>
              <w:jc w:val="left"/>
              <w:rPr>
                <w:rFonts w:ascii="宋体" w:hAnsi="宋体"/>
                <w:sz w:val="24"/>
              </w:rPr>
            </w:pPr>
          </w:p>
        </w:tc>
        <w:tc>
          <w:tcPr>
            <w:tcW w:w="1125" w:type="dxa"/>
            <w:noWrap w:val="0"/>
            <w:vAlign w:val="top"/>
          </w:tcPr>
          <w:p w14:paraId="36C59088">
            <w:pPr>
              <w:spacing w:line="360" w:lineRule="auto"/>
              <w:jc w:val="left"/>
              <w:rPr>
                <w:rFonts w:ascii="宋体" w:hAnsi="宋体"/>
                <w:sz w:val="24"/>
              </w:rPr>
            </w:pPr>
          </w:p>
        </w:tc>
      </w:tr>
    </w:tbl>
    <w:p w14:paraId="200660C8">
      <w:pPr>
        <w:spacing w:line="360" w:lineRule="auto"/>
        <w:ind w:right="2160"/>
        <w:jc w:val="left"/>
        <w:rPr>
          <w:rFonts w:ascii="宋体" w:hAnsi="宋体"/>
          <w:sz w:val="24"/>
        </w:rPr>
      </w:pPr>
    </w:p>
    <w:p w14:paraId="75196837">
      <w:pPr>
        <w:spacing w:line="360" w:lineRule="auto"/>
        <w:ind w:right="2160"/>
        <w:jc w:val="left"/>
        <w:rPr>
          <w:rFonts w:ascii="宋体" w:hAnsi="宋体"/>
          <w:sz w:val="24"/>
        </w:rPr>
      </w:pPr>
      <w:r>
        <w:rPr>
          <w:rFonts w:ascii="宋体" w:hAnsi="宋体"/>
          <w:sz w:val="24"/>
        </w:rPr>
        <w:t>备注：“耗材统一编码”为“智慧医保”招采子系统（两定门户）的代码</w:t>
      </w:r>
    </w:p>
    <w:p w14:paraId="43802506">
      <w:pPr>
        <w:spacing w:line="480" w:lineRule="auto"/>
        <w:rPr>
          <w:rFonts w:hint="eastAsia" w:ascii="宋体" w:hAnsi="宋体"/>
          <w:sz w:val="24"/>
        </w:rPr>
      </w:pPr>
    </w:p>
    <w:p w14:paraId="095DCE6E">
      <w:pPr>
        <w:numPr>
          <w:ilvl w:val="0"/>
          <w:numId w:val="0"/>
        </w:numPr>
        <w:spacing w:line="360" w:lineRule="auto"/>
        <w:rPr>
          <w:rFonts w:hint="default" w:ascii="宋体" w:hAnsi="宋体"/>
          <w:b/>
          <w:sz w:val="32"/>
          <w:szCs w:val="32"/>
          <w:lang w:val="en-US" w:eastAsia="zh-CN"/>
        </w:rPr>
      </w:pPr>
    </w:p>
    <w:p w14:paraId="447F555B">
      <w:pPr>
        <w:rPr>
          <w:rFonts w:hint="eastAsia" w:ascii="宋体" w:hAnsi="宋体"/>
          <w:b/>
          <w:sz w:val="32"/>
          <w:szCs w:val="32"/>
        </w:rPr>
      </w:pPr>
      <w:r>
        <w:rPr>
          <w:rFonts w:hint="eastAsia" w:ascii="宋体" w:hAnsi="宋体"/>
          <w:b/>
          <w:sz w:val="32"/>
          <w:szCs w:val="32"/>
        </w:rPr>
        <w:br w:type="page"/>
      </w:r>
    </w:p>
    <w:p w14:paraId="76C65451">
      <w:pPr>
        <w:spacing w:line="360" w:lineRule="auto"/>
        <w:ind w:firstLine="2731" w:firstLineChars="850"/>
        <w:rPr>
          <w:rFonts w:hint="eastAsia" w:ascii="宋体" w:hAnsi="宋体"/>
          <w:b/>
          <w:sz w:val="32"/>
          <w:szCs w:val="32"/>
        </w:rPr>
      </w:pPr>
      <w:r>
        <w:rPr>
          <w:rFonts w:hint="eastAsia" w:ascii="宋体" w:hAnsi="宋体"/>
          <w:b/>
          <w:sz w:val="32"/>
          <w:szCs w:val="32"/>
        </w:rPr>
        <w:t>第六章 采购响应文件格式</w:t>
      </w:r>
    </w:p>
    <w:p w14:paraId="07897C8B">
      <w:pPr>
        <w:pStyle w:val="6"/>
        <w:spacing w:before="156" w:after="156" w:line="360" w:lineRule="auto"/>
        <w:ind w:firstLine="480" w:firstLineChars="200"/>
        <w:rPr>
          <w:rFonts w:hAnsi="宋体" w:cs="宋体"/>
        </w:rPr>
      </w:pPr>
      <w:r>
        <w:rPr>
          <w:rFonts w:hint="eastAsia" w:hAnsi="宋体" w:cs="宋体"/>
        </w:rPr>
        <w:t>说明：</w:t>
      </w:r>
    </w:p>
    <w:p w14:paraId="41B78F2A">
      <w:pPr>
        <w:pStyle w:val="6"/>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6"/>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hint="eastAsia"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hint="eastAsia"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《供应商登记表》</w:t>
      </w:r>
    </w:p>
    <w:p w14:paraId="3205DD16">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《配套设备报价表》（如有）</w:t>
      </w:r>
    </w:p>
    <w:p w14:paraId="0B19A1F0">
      <w:pPr>
        <w:pStyle w:val="17"/>
        <w:numPr>
          <w:ilvl w:val="0"/>
          <w:numId w:val="13"/>
        </w:numPr>
        <w:spacing w:line="360" w:lineRule="auto"/>
        <w:ind w:firstLineChars="0"/>
        <w:rPr>
          <w:rFonts w:hint="eastAsia" w:ascii="宋体" w:hAnsi="宋体"/>
          <w:sz w:val="24"/>
          <w:lang w:val="zh-CN"/>
        </w:rPr>
      </w:pPr>
      <w:r>
        <w:rPr>
          <w:rFonts w:hint="eastAsia" w:ascii="宋体" w:hAnsi="宋体"/>
          <w:sz w:val="24"/>
          <w:lang w:val="zh-CN"/>
        </w:rPr>
        <w:t>以下资格证明文件（附件一）</w:t>
      </w:r>
    </w:p>
    <w:p w14:paraId="028A8D0D">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供应商营业执照</w:t>
      </w:r>
    </w:p>
    <w:p w14:paraId="4B2A1599">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供应商医疗器械经营许可证或备案证</w:t>
      </w:r>
    </w:p>
    <w:p w14:paraId="23764192">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生产厂家营业执照</w:t>
      </w:r>
    </w:p>
    <w:p w14:paraId="515B7CD5">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符合参与采购活动资格条件的承诺函</w:t>
      </w:r>
    </w:p>
    <w:p w14:paraId="69FC6E66">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供应商商业信誉证明材料</w:t>
      </w:r>
    </w:p>
    <w:p w14:paraId="46825BE2">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与其他供应商无利害关系的声明函</w:t>
      </w:r>
    </w:p>
    <w:p w14:paraId="7FBA481F">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供应商基本情况表及简介</w:t>
      </w:r>
    </w:p>
    <w:p w14:paraId="033F211C">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生产厂家对供应商的逐级授权书，</w:t>
      </w:r>
      <w:r>
        <w:rPr>
          <w:rFonts w:hint="eastAsia" w:ascii="宋体" w:hAnsi="宋体"/>
          <w:sz w:val="24"/>
          <w:lang w:val="en-US" w:eastAsia="zh-CN"/>
        </w:rPr>
        <w:t>如生产厂家直接投标则无需</w:t>
      </w:r>
    </w:p>
    <w:p w14:paraId="6DB21202">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产品的主要优势、特点、性能参数等可靠性证明</w:t>
      </w:r>
    </w:p>
    <w:p w14:paraId="75C69984">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供应商仓储情况说明，包括地址、仓储条件照片等</w:t>
      </w:r>
    </w:p>
    <w:p w14:paraId="09FC75BB">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rPr>
        <w:t>价格承诺书（格式见附件三）</w:t>
      </w:r>
    </w:p>
    <w:p w14:paraId="50D379E8">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产品彩页</w:t>
      </w:r>
    </w:p>
    <w:p w14:paraId="64A5680F">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产品说明书</w:t>
      </w:r>
    </w:p>
    <w:p w14:paraId="039B4AFF">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hint="eastAsia"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hint="eastAsia" w:ascii="宋体" w:hAnsi="宋体"/>
          <w:color w:val="000000"/>
          <w:sz w:val="24"/>
          <w:szCs w:val="24"/>
        </w:rPr>
      </w:pPr>
    </w:p>
    <w:p w14:paraId="28871A9F">
      <w:pPr>
        <w:widowControl/>
        <w:jc w:val="left"/>
        <w:rPr>
          <w:rFonts w:hint="eastAsia" w:ascii="宋体" w:hAnsi="宋体"/>
          <w:b/>
          <w:bCs/>
          <w:sz w:val="28"/>
          <w:szCs w:val="28"/>
        </w:rPr>
      </w:pPr>
      <w:r>
        <w:rPr>
          <w:rFonts w:ascii="宋体" w:hAnsi="宋体"/>
          <w:b/>
          <w:bCs/>
          <w:sz w:val="28"/>
          <w:szCs w:val="28"/>
        </w:rPr>
        <w:br w:type="page"/>
      </w:r>
    </w:p>
    <w:p w14:paraId="23E30FBF">
      <w:pPr>
        <w:widowControl/>
        <w:jc w:val="left"/>
        <w:rPr>
          <w:rFonts w:hint="eastAsia" w:ascii="宋体" w:hAnsi="宋体"/>
          <w:b/>
          <w:bCs/>
          <w:sz w:val="28"/>
          <w:szCs w:val="28"/>
        </w:rPr>
      </w:pPr>
      <w:r>
        <w:rPr>
          <w:rFonts w:ascii="宋体" w:hAnsi="宋体"/>
          <w:b/>
          <w:bCs/>
          <w:sz w:val="28"/>
          <w:szCs w:val="28"/>
        </w:rPr>
        <w:t>附件一</w:t>
      </w:r>
    </w:p>
    <w:p w14:paraId="486F2473">
      <w:pPr>
        <w:widowControl/>
        <w:jc w:val="center"/>
        <w:rPr>
          <w:rFonts w:hint="eastAsia" w:ascii="宋体" w:hAnsi="宋体"/>
          <w:b/>
          <w:bCs/>
          <w:sz w:val="28"/>
          <w:szCs w:val="28"/>
        </w:rPr>
      </w:pPr>
      <w:r>
        <w:rPr>
          <w:rFonts w:ascii="宋体" w:hAnsi="宋体"/>
          <w:b/>
          <w:bCs/>
          <w:sz w:val="28"/>
          <w:szCs w:val="28"/>
        </w:rPr>
        <w:t>资格证明文件</w:t>
      </w:r>
    </w:p>
    <w:p w14:paraId="7EE37ECB">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供应商营业执照</w:t>
      </w:r>
    </w:p>
    <w:p w14:paraId="055C34B6">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生产厂家营业执照</w:t>
      </w:r>
    </w:p>
    <w:p w14:paraId="1E8F793D">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7"/>
        <w:numPr>
          <w:ilvl w:val="0"/>
          <w:numId w:val="15"/>
        </w:numPr>
        <w:spacing w:line="360" w:lineRule="auto"/>
        <w:ind w:firstLineChars="0"/>
        <w:rPr>
          <w:rFonts w:hint="eastAsia" w:ascii="宋体" w:hAnsi="宋体"/>
          <w:sz w:val="24"/>
          <w:szCs w:val="24"/>
          <w:lang w:val="zh-CN"/>
        </w:rPr>
      </w:pPr>
      <w:r>
        <w:rPr>
          <w:rFonts w:hint="eastAsia" w:cs="宋体"/>
          <w:sz w:val="24"/>
          <w:szCs w:val="24"/>
        </w:rPr>
        <w:t>符合参与采购活动资格条件的承诺函</w:t>
      </w:r>
    </w:p>
    <w:p w14:paraId="119D7415">
      <w:pPr>
        <w:pStyle w:val="17"/>
        <w:numPr>
          <w:ilvl w:val="0"/>
          <w:numId w:val="15"/>
        </w:numPr>
        <w:spacing w:line="360" w:lineRule="auto"/>
        <w:ind w:firstLineChars="0"/>
        <w:rPr>
          <w:rFonts w:hint="eastAsia"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7"/>
        <w:numPr>
          <w:ilvl w:val="0"/>
          <w:numId w:val="15"/>
        </w:numPr>
        <w:spacing w:line="360" w:lineRule="auto"/>
        <w:ind w:firstLineChars="0"/>
        <w:rPr>
          <w:rFonts w:hint="eastAsia" w:ascii="宋体" w:hAnsi="宋体"/>
          <w:sz w:val="24"/>
          <w:szCs w:val="24"/>
          <w:lang w:val="zh-CN"/>
        </w:rPr>
      </w:pPr>
      <w:r>
        <w:rPr>
          <w:rFonts w:hint="eastAsia" w:ascii="宋体" w:hAnsi="宋体"/>
          <w:sz w:val="24"/>
          <w:szCs w:val="24"/>
          <w:lang w:val="zh-CN"/>
        </w:rPr>
        <w:t>与其他供应商无利害关系的声明函</w:t>
      </w:r>
    </w:p>
    <w:p w14:paraId="5DBB8196">
      <w:pPr>
        <w:pStyle w:val="17"/>
        <w:numPr>
          <w:ilvl w:val="0"/>
          <w:numId w:val="15"/>
        </w:numPr>
        <w:spacing w:line="360" w:lineRule="auto"/>
        <w:ind w:firstLineChars="0"/>
        <w:rPr>
          <w:rFonts w:hint="eastAsia"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hint="eastAsia" w:ascii="宋体" w:hAnsi="宋体" w:cs="宋体" w:eastAsiaTheme="minorEastAsia"/>
          <w:szCs w:val="21"/>
          <w:highlight w:val="lightGray"/>
        </w:rPr>
      </w:pPr>
      <w:r>
        <w:rPr>
          <w:rFonts w:cs="宋体"/>
          <w:szCs w:val="21"/>
          <w:highlight w:val="lightGray"/>
        </w:rPr>
        <w:br w:type="page"/>
      </w:r>
    </w:p>
    <w:p w14:paraId="7DC2DAE6">
      <w:pPr>
        <w:pStyle w:val="11"/>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hint="eastAsia" w:cs="宋体"/>
          <w:b/>
          <w:sz w:val="21"/>
          <w:szCs w:val="21"/>
        </w:rPr>
        <w:t>符合参与采购活动资格条件的承诺函：</w:t>
      </w:r>
    </w:p>
    <w:p w14:paraId="3D109450">
      <w:pPr>
        <w:pStyle w:val="11"/>
        <w:adjustRightInd w:val="0"/>
        <w:snapToGrid w:val="0"/>
        <w:spacing w:before="0" w:beforeAutospacing="0" w:after="0" w:afterAutospacing="0" w:line="360" w:lineRule="auto"/>
        <w:ind w:left="420" w:leftChars="200"/>
        <w:rPr>
          <w:rFonts w:hint="eastAsia" w:cs="宋体"/>
          <w:sz w:val="21"/>
          <w:szCs w:val="21"/>
        </w:rPr>
      </w:pPr>
    </w:p>
    <w:p w14:paraId="55F75FB9">
      <w:pPr>
        <w:pStyle w:val="11"/>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承诺函</w:t>
      </w:r>
    </w:p>
    <w:p w14:paraId="39431497">
      <w:pPr>
        <w:spacing w:line="480" w:lineRule="auto"/>
        <w:rPr>
          <w:rFonts w:hint="eastAsia" w:ascii="宋体" w:hAnsi="宋体" w:cs="宋体"/>
          <w:szCs w:val="21"/>
          <w:u w:val="single"/>
        </w:rPr>
      </w:pPr>
    </w:p>
    <w:p w14:paraId="21B24C37">
      <w:pPr>
        <w:spacing w:line="480" w:lineRule="auto"/>
        <w:rPr>
          <w:rFonts w:hint="eastAsia" w:ascii="宋体" w:hAnsi="宋体" w:cs="宋体"/>
          <w:sz w:val="24"/>
          <w:szCs w:val="21"/>
          <w:u w:val="single"/>
        </w:rPr>
      </w:pPr>
      <w:r>
        <w:rPr>
          <w:rFonts w:hint="eastAsia" w:ascii="宋体" w:hAnsi="宋体" w:cs="宋体"/>
          <w:sz w:val="24"/>
          <w:szCs w:val="21"/>
          <w:u w:val="single"/>
        </w:rPr>
        <w:t>（采购人）：</w:t>
      </w:r>
    </w:p>
    <w:p w14:paraId="469CE554">
      <w:pPr>
        <w:pStyle w:val="11"/>
        <w:spacing w:before="0" w:beforeAutospacing="0" w:after="0" w:afterAutospacing="0" w:line="480" w:lineRule="auto"/>
        <w:ind w:firstLine="960" w:firstLineChars="400"/>
        <w:rPr>
          <w:rFonts w:hint="eastAsia" w:cs="宋体"/>
          <w:szCs w:val="21"/>
        </w:rPr>
      </w:pPr>
    </w:p>
    <w:p w14:paraId="7240439C">
      <w:pPr>
        <w:pStyle w:val="11"/>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w:t>
      </w:r>
      <w:r>
        <w:rPr>
          <w:rFonts w:hint="eastAsia" w:cs="宋体"/>
          <w:szCs w:val="21"/>
          <w:lang w:eastAsia="zh-CN"/>
        </w:rPr>
        <w:t>作如下承诺</w:t>
      </w:r>
      <w:r>
        <w:rPr>
          <w:rFonts w:hint="eastAsia" w:cs="宋体"/>
          <w:szCs w:val="21"/>
        </w:rPr>
        <w:t>：</w:t>
      </w:r>
    </w:p>
    <w:p w14:paraId="76A3E6A6">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我方具有良好的商业信誉和健全的财务会计制度；</w:t>
      </w:r>
    </w:p>
    <w:p w14:paraId="1BB30B4D">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我方具有履行本项目所必需的仓储条件；</w:t>
      </w:r>
    </w:p>
    <w:p w14:paraId="345A694D">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我方没有缴纳税收和社会保障等方面的失信记录；</w:t>
      </w:r>
    </w:p>
    <w:p w14:paraId="367A1170">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11"/>
        <w:spacing w:before="0" w:beforeAutospacing="0" w:after="0" w:afterAutospacing="0" w:line="480" w:lineRule="auto"/>
        <w:ind w:firstLine="480" w:firstLineChars="200"/>
        <w:rPr>
          <w:rFonts w:hint="eastAsia" w:cs="宋体"/>
          <w:szCs w:val="21"/>
        </w:rPr>
      </w:pPr>
      <w:r>
        <w:rPr>
          <w:rFonts w:hint="eastAsia" w:cs="宋体"/>
          <w:szCs w:val="21"/>
        </w:rPr>
        <w:t>我方对上述承诺内容的真实性负责。如有虚假，将依法承担相应责任。</w:t>
      </w:r>
    </w:p>
    <w:p w14:paraId="40AD94D7">
      <w:pPr>
        <w:pStyle w:val="11"/>
        <w:spacing w:before="0" w:beforeAutospacing="0" w:after="0" w:afterAutospacing="0" w:line="480" w:lineRule="auto"/>
        <w:ind w:firstLine="480" w:firstLineChars="200"/>
        <w:rPr>
          <w:rFonts w:hint="eastAsia" w:cs="宋体"/>
          <w:szCs w:val="21"/>
        </w:rPr>
      </w:pPr>
    </w:p>
    <w:p w14:paraId="0DB2DA7E">
      <w:pPr>
        <w:pStyle w:val="11"/>
        <w:spacing w:before="0" w:beforeAutospacing="0" w:after="0" w:afterAutospacing="0" w:line="480" w:lineRule="auto"/>
        <w:ind w:firstLine="482" w:firstLineChars="200"/>
        <w:rPr>
          <w:rFonts w:hint="eastAsia" w:cs="宋体"/>
          <w:b/>
          <w:bCs/>
          <w:szCs w:val="21"/>
        </w:rPr>
      </w:pPr>
    </w:p>
    <w:p w14:paraId="497052F0">
      <w:pPr>
        <w:pStyle w:val="11"/>
        <w:spacing w:before="0" w:beforeAutospacing="0" w:after="0" w:afterAutospacing="0" w:line="480" w:lineRule="auto"/>
        <w:ind w:firstLine="480" w:firstLineChars="200"/>
        <w:rPr>
          <w:rFonts w:hint="eastAsia" w:cs="宋体"/>
          <w:szCs w:val="21"/>
        </w:rPr>
      </w:pPr>
      <w:r>
        <w:rPr>
          <w:rFonts w:hint="eastAsia" w:cs="宋体"/>
          <w:szCs w:val="21"/>
        </w:rPr>
        <w:t xml:space="preserve">供应商名称（盖章） ： </w:t>
      </w:r>
    </w:p>
    <w:p w14:paraId="534F9A0B">
      <w:pPr>
        <w:pStyle w:val="11"/>
        <w:spacing w:before="0" w:beforeAutospacing="0" w:after="0" w:afterAutospacing="0" w:line="480" w:lineRule="auto"/>
        <w:ind w:firstLine="480" w:firstLineChars="200"/>
        <w:rPr>
          <w:rFonts w:hint="eastAsia" w:cs="宋体"/>
          <w:szCs w:val="21"/>
        </w:rPr>
      </w:pPr>
      <w:r>
        <w:rPr>
          <w:rFonts w:hint="eastAsia" w:cs="宋体"/>
          <w:szCs w:val="21"/>
        </w:rPr>
        <w:t>法定代表人或授权代表（签字或盖章）：</w:t>
      </w:r>
    </w:p>
    <w:p w14:paraId="458DC1A1">
      <w:pPr>
        <w:pStyle w:val="4"/>
        <w:ind w:firstLine="470" w:firstLineChars="196"/>
        <w:rPr>
          <w:rFonts w:hint="eastAsia"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hint="eastAsia" w:ascii="宋体" w:hAnsi="宋体" w:cs="宋体"/>
          <w:b/>
          <w:bCs/>
          <w:szCs w:val="21"/>
        </w:rPr>
      </w:pPr>
      <w:r>
        <w:rPr>
          <w:rFonts w:ascii="宋体" w:hAnsi="宋体" w:cs="宋体"/>
          <w:szCs w:val="21"/>
        </w:rPr>
        <w:br w:type="page"/>
      </w:r>
    </w:p>
    <w:p w14:paraId="70DB2316">
      <w:pPr>
        <w:pStyle w:val="11"/>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cs="宋体"/>
          <w:b/>
          <w:sz w:val="21"/>
          <w:szCs w:val="21"/>
        </w:rPr>
        <w:t>供应商商业信誉证明材料：</w:t>
      </w:r>
    </w:p>
    <w:p w14:paraId="6C2E3B30">
      <w:pPr>
        <w:pStyle w:val="11"/>
        <w:tabs>
          <w:tab w:val="left" w:pos="630"/>
          <w:tab w:val="left" w:pos="840"/>
          <w:tab w:val="left" w:pos="1050"/>
        </w:tabs>
        <w:adjustRightInd w:val="0"/>
        <w:snapToGrid w:val="0"/>
        <w:spacing w:before="0" w:beforeAutospacing="0" w:after="0" w:afterAutospacing="0" w:line="360" w:lineRule="auto"/>
        <w:rPr>
          <w:rFonts w:hint="eastAsia" w:cs="宋体"/>
          <w:sz w:val="21"/>
          <w:szCs w:val="21"/>
        </w:rPr>
      </w:pPr>
    </w:p>
    <w:p w14:paraId="3F5AF5D4">
      <w:pPr>
        <w:pStyle w:val="17"/>
        <w:numPr>
          <w:ilvl w:val="3"/>
          <w:numId w:val="17"/>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7"/>
        <w:snapToGrid w:val="0"/>
        <w:spacing w:line="360" w:lineRule="auto"/>
        <w:ind w:left="426" w:firstLine="0" w:firstLineChars="0"/>
        <w:jc w:val="left"/>
        <w:rPr>
          <w:sz w:val="24"/>
          <w:szCs w:val="32"/>
        </w:rPr>
      </w:pPr>
    </w:p>
    <w:p w14:paraId="2D9E4853">
      <w:pPr>
        <w:pStyle w:val="17"/>
        <w:numPr>
          <w:ilvl w:val="3"/>
          <w:numId w:val="17"/>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hint="eastAsia" w:ascii="宋体" w:hAnsi="宋体"/>
          <w:sz w:val="28"/>
          <w:szCs w:val="28"/>
        </w:rPr>
      </w:pPr>
      <w:r>
        <w:rPr>
          <w:rFonts w:ascii="宋体" w:hAnsi="宋体"/>
          <w:b/>
          <w:bCs/>
          <w:sz w:val="28"/>
          <w:szCs w:val="28"/>
        </w:rPr>
        <w:br w:type="page"/>
      </w:r>
    </w:p>
    <w:p w14:paraId="22192140">
      <w:pPr>
        <w:pStyle w:val="11"/>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11"/>
        <w:adjustRightInd w:val="0"/>
        <w:snapToGrid w:val="0"/>
        <w:spacing w:before="0" w:beforeAutospacing="0" w:after="0" w:afterAutospacing="0" w:line="360" w:lineRule="auto"/>
        <w:jc w:val="center"/>
        <w:rPr>
          <w:rFonts w:hint="eastAsia" w:cs="宋体"/>
          <w:sz w:val="32"/>
          <w:szCs w:val="32"/>
        </w:rPr>
      </w:pPr>
    </w:p>
    <w:p w14:paraId="22998382">
      <w:pPr>
        <w:pStyle w:val="11"/>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声明函</w:t>
      </w:r>
    </w:p>
    <w:p w14:paraId="02D9BD9B">
      <w:pPr>
        <w:pStyle w:val="17"/>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7"/>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7"/>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7"/>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7"/>
        <w:spacing w:line="480" w:lineRule="auto"/>
        <w:ind w:left="420" w:firstLine="0" w:firstLineChars="0"/>
        <w:rPr>
          <w:rFonts w:ascii="Times New Roman" w:hAnsi="Times New Roman"/>
          <w:sz w:val="24"/>
        </w:rPr>
      </w:pPr>
    </w:p>
    <w:p w14:paraId="741DC565">
      <w:pPr>
        <w:pStyle w:val="17"/>
        <w:spacing w:line="480" w:lineRule="auto"/>
        <w:ind w:left="420" w:firstLine="0" w:firstLineChars="0"/>
        <w:rPr>
          <w:rFonts w:ascii="Times New Roman" w:hAnsi="Times New Roman"/>
          <w:sz w:val="24"/>
        </w:rPr>
      </w:pPr>
    </w:p>
    <w:p w14:paraId="0B14CD2A">
      <w:pPr>
        <w:pStyle w:val="17"/>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7"/>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7"/>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4"/>
        <w:ind w:firstLine="630" w:firstLineChars="196"/>
        <w:rPr>
          <w:rFonts w:hint="eastAsia" w:ascii="宋体" w:hAnsi="宋体" w:eastAsia="宋体" w:cs="宋体"/>
          <w:szCs w:val="21"/>
        </w:rPr>
      </w:pPr>
    </w:p>
    <w:p w14:paraId="0D314EBC">
      <w:pPr>
        <w:spacing w:line="360" w:lineRule="atLeast"/>
        <w:ind w:firstLine="422" w:firstLineChars="200"/>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hint="eastAsia" w:ascii="宋体" w:hAnsi="宋体" w:cs="宋体"/>
          <w:szCs w:val="21"/>
        </w:rPr>
      </w:pPr>
    </w:p>
    <w:p w14:paraId="4D63F5FB">
      <w:pPr>
        <w:adjustRightInd w:val="0"/>
        <w:snapToGrid w:val="0"/>
        <w:spacing w:line="360" w:lineRule="auto"/>
        <w:jc w:val="center"/>
        <w:rPr>
          <w:rFonts w:hint="eastAsia" w:ascii="宋体" w:hAnsi="宋体" w:cs="宋体"/>
          <w:szCs w:val="21"/>
        </w:rPr>
      </w:pPr>
      <w:r>
        <w:rPr>
          <w:rFonts w:hint="eastAsia" w:ascii="宋体" w:hAnsi="宋体" w:cs="宋体"/>
          <w:szCs w:val="21"/>
        </w:rPr>
        <w:t>供应商简况表</w:t>
      </w: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hint="eastAsia"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单位</w:t>
            </w:r>
          </w:p>
          <w:p w14:paraId="7BA3B36C">
            <w:pPr>
              <w:widowControl/>
              <w:jc w:val="center"/>
              <w:rPr>
                <w:rFonts w:hint="eastAsia"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hint="eastAsia"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hint="eastAsia"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hint="eastAsia"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hint="eastAsia"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hint="eastAsia"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hint="eastAsia"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hint="eastAsia" w:ascii="宋体" w:hAnsi="宋体" w:cs="宋体"/>
          <w:szCs w:val="21"/>
        </w:rPr>
      </w:pPr>
    </w:p>
    <w:p w14:paraId="29E25B72">
      <w:pPr>
        <w:spacing w:line="360" w:lineRule="auto"/>
        <w:ind w:right="960"/>
        <w:jc w:val="left"/>
        <w:rPr>
          <w:rFonts w:hint="eastAsia" w:ascii="宋体" w:hAnsi="宋体" w:cs="宋体"/>
          <w:sz w:val="24"/>
          <w:szCs w:val="21"/>
        </w:rPr>
      </w:pPr>
      <w:r>
        <w:rPr>
          <w:rFonts w:hint="eastAsia" w:ascii="宋体" w:hAnsi="宋体" w:cs="宋体"/>
          <w:sz w:val="24"/>
          <w:szCs w:val="21"/>
        </w:rPr>
        <w:t xml:space="preserve">供应商：（盖公章）       </w:t>
      </w:r>
    </w:p>
    <w:p w14:paraId="5339F123">
      <w:pPr>
        <w:pStyle w:val="11"/>
        <w:spacing w:before="0" w:beforeAutospacing="0" w:after="0" w:afterAutospacing="0" w:line="480" w:lineRule="auto"/>
        <w:jc w:val="both"/>
        <w:rPr>
          <w:rFonts w:hint="eastAsia" w:cs="宋体"/>
          <w:szCs w:val="21"/>
        </w:rPr>
      </w:pPr>
      <w:r>
        <w:rPr>
          <w:rFonts w:hint="eastAsia" w:cs="宋体"/>
          <w:szCs w:val="21"/>
        </w:rPr>
        <w:t>法定代表人或授权代表（签字或盖章）：</w:t>
      </w:r>
    </w:p>
    <w:p w14:paraId="2BD7F160">
      <w:pPr>
        <w:autoSpaceDE w:val="0"/>
        <w:autoSpaceDN w:val="0"/>
        <w:adjustRightInd w:val="0"/>
        <w:ind w:right="1320"/>
        <w:rPr>
          <w:rFonts w:hint="eastAsia"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hint="eastAsia" w:ascii="宋体" w:hAnsi="宋体"/>
          <w:sz w:val="28"/>
          <w:szCs w:val="28"/>
        </w:rPr>
      </w:pPr>
      <w:r>
        <w:rPr>
          <w:rFonts w:ascii="宋体" w:hAnsi="宋体"/>
          <w:b/>
          <w:bCs/>
          <w:sz w:val="28"/>
          <w:szCs w:val="28"/>
        </w:rPr>
        <w:br w:type="page"/>
      </w:r>
    </w:p>
    <w:p w14:paraId="0EB5B609">
      <w:pPr>
        <w:widowControl/>
        <w:jc w:val="left"/>
        <w:rPr>
          <w:rFonts w:hint="eastAsia" w:ascii="宋体" w:hAnsi="宋体"/>
          <w:b/>
          <w:bCs/>
          <w:sz w:val="28"/>
          <w:szCs w:val="28"/>
        </w:rPr>
      </w:pPr>
      <w:r>
        <w:rPr>
          <w:rFonts w:hint="eastAsia" w:ascii="宋体" w:hAnsi="宋体"/>
          <w:b/>
          <w:bCs/>
          <w:sz w:val="28"/>
          <w:szCs w:val="28"/>
        </w:rPr>
        <w:t>附件二</w:t>
      </w:r>
    </w:p>
    <w:p w14:paraId="20A3A893">
      <w:pPr>
        <w:spacing w:line="360" w:lineRule="auto"/>
        <w:jc w:val="center"/>
        <w:rPr>
          <w:rFonts w:hint="eastAsia"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8"/>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8"/>
        </w:numPr>
        <w:spacing w:line="360" w:lineRule="auto"/>
        <w:rPr>
          <w:sz w:val="24"/>
          <w:szCs w:val="24"/>
          <w:highlight w:val="none"/>
        </w:rPr>
      </w:pPr>
      <w:r>
        <w:rPr>
          <w:rFonts w:hint="eastAsia"/>
          <w:sz w:val="24"/>
          <w:szCs w:val="24"/>
          <w:highlight w:val="none"/>
        </w:rPr>
        <w:t>本公司提供完善的销售供应和售后服务保障体系，接需方供货通知后24小时内到货（特殊情况另议），并负责货物搬运入库；加急情况下随叫随送。</w:t>
      </w:r>
    </w:p>
    <w:p w14:paraId="4EDA7B42">
      <w:pPr>
        <w:numPr>
          <w:ilvl w:val="0"/>
          <w:numId w:val="18"/>
        </w:numPr>
        <w:spacing w:line="360" w:lineRule="auto"/>
        <w:rPr>
          <w:sz w:val="24"/>
          <w:szCs w:val="24"/>
          <w:highlight w:val="none"/>
        </w:rPr>
      </w:pPr>
      <w:r>
        <w:rPr>
          <w:rFonts w:hint="eastAsia" w:ascii="宋体" w:hAnsi="宋体"/>
          <w:sz w:val="24"/>
          <w:highlight w:val="none"/>
        </w:rPr>
        <w:t>产品送货当日距产品失效期</w:t>
      </w:r>
      <w:r>
        <w:rPr>
          <w:rFonts w:hint="eastAsia" w:ascii="宋体" w:hAnsi="宋体"/>
          <w:color w:val="000000"/>
          <w:sz w:val="24"/>
          <w:highlight w:val="none"/>
        </w:rPr>
        <w:t>不小于6个月。</w:t>
      </w:r>
    </w:p>
    <w:p w14:paraId="69809B58">
      <w:pPr>
        <w:numPr>
          <w:ilvl w:val="0"/>
          <w:numId w:val="18"/>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8"/>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8"/>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11"/>
        <w:spacing w:before="0" w:beforeAutospacing="0" w:after="0" w:afterAutospacing="0" w:line="480" w:lineRule="auto"/>
        <w:rPr>
          <w:rFonts w:hint="eastAsia"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hint="eastAsia" w:ascii="宋体" w:hAnsi="宋体"/>
          <w:sz w:val="28"/>
          <w:szCs w:val="28"/>
        </w:rPr>
      </w:pPr>
      <w:r>
        <w:rPr>
          <w:rFonts w:ascii="宋体" w:hAnsi="宋体"/>
          <w:b/>
          <w:bCs/>
          <w:sz w:val="28"/>
          <w:szCs w:val="28"/>
        </w:rPr>
        <w:br w:type="page"/>
      </w:r>
    </w:p>
    <w:p w14:paraId="6690BEBC">
      <w:pPr>
        <w:widowControl/>
        <w:jc w:val="left"/>
        <w:rPr>
          <w:rFonts w:hint="eastAsia" w:ascii="宋体" w:hAnsi="宋体"/>
          <w:b/>
          <w:bCs/>
          <w:sz w:val="28"/>
          <w:szCs w:val="28"/>
        </w:rPr>
      </w:pPr>
      <w:r>
        <w:rPr>
          <w:rFonts w:hint="eastAsia" w:ascii="宋体" w:hAnsi="宋体"/>
          <w:b/>
          <w:bCs/>
          <w:sz w:val="28"/>
          <w:szCs w:val="28"/>
        </w:rPr>
        <w:t>附件三</w:t>
      </w:r>
    </w:p>
    <w:p w14:paraId="1BDD8F0A">
      <w:pPr>
        <w:jc w:val="center"/>
        <w:rPr>
          <w:rFonts w:hint="eastAsia"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hint="eastAsia" w:ascii="宋体" w:hAnsi="宋体" w:cs="宋体"/>
          <w:color w:val="000000"/>
          <w:kern w:val="0"/>
          <w:sz w:val="22"/>
        </w:rPr>
      </w:pPr>
    </w:p>
    <w:p w14:paraId="360BBCAF">
      <w:pPr>
        <w:ind w:firstLine="420"/>
        <w:rPr>
          <w:rFonts w:hint="eastAsia" w:ascii="宋体" w:hAnsi="宋体" w:cs="宋体"/>
          <w:color w:val="000000"/>
          <w:kern w:val="0"/>
          <w:sz w:val="22"/>
        </w:rPr>
      </w:pPr>
    </w:p>
    <w:p w14:paraId="6F3A6621">
      <w:pPr>
        <w:widowControl/>
        <w:jc w:val="left"/>
        <w:rPr>
          <w:rFonts w:hint="eastAsia" w:ascii="宋体" w:hAnsi="宋体" w:cs="宋体"/>
          <w:color w:val="000000"/>
          <w:kern w:val="0"/>
          <w:sz w:val="22"/>
        </w:rPr>
      </w:pPr>
      <w:r>
        <w:rPr>
          <w:rFonts w:ascii="宋体" w:hAnsi="宋体" w:cs="宋体"/>
          <w:color w:val="000000"/>
          <w:kern w:val="0"/>
          <w:sz w:val="22"/>
        </w:rPr>
        <w:br w:type="page"/>
      </w:r>
    </w:p>
    <w:p w14:paraId="0F519B07">
      <w:pPr>
        <w:widowControl/>
        <w:jc w:val="left"/>
        <w:rPr>
          <w:rFonts w:hint="eastAsia"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2"/>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hint="eastAsia" w:ascii="宋体" w:hAnsi="宋体"/>
          <w:sz w:val="28"/>
          <w:szCs w:val="28"/>
        </w:rPr>
      </w:pPr>
      <w:r>
        <w:rPr>
          <w:rFonts w:ascii="宋体" w:hAnsi="宋体"/>
          <w:b/>
          <w:bCs/>
          <w:sz w:val="28"/>
          <w:szCs w:val="28"/>
        </w:rPr>
        <w:br w:type="page"/>
      </w:r>
    </w:p>
    <w:p w14:paraId="6EE7AC5D">
      <w:pPr>
        <w:widowControl/>
        <w:jc w:val="left"/>
        <w:rPr>
          <w:rFonts w:hint="eastAsia" w:ascii="宋体" w:hAnsi="宋体"/>
          <w:b/>
          <w:bCs/>
          <w:sz w:val="28"/>
          <w:szCs w:val="28"/>
        </w:rPr>
      </w:pPr>
      <w:r>
        <w:rPr>
          <w:rFonts w:hint="eastAsia" w:ascii="宋体" w:hAnsi="宋体"/>
          <w:b/>
          <w:bCs/>
          <w:sz w:val="28"/>
          <w:szCs w:val="28"/>
        </w:rPr>
        <w:t>附件五</w:t>
      </w:r>
    </w:p>
    <w:p w14:paraId="431F7F3C">
      <w:pPr>
        <w:pStyle w:val="25"/>
        <w:spacing w:line="360" w:lineRule="auto"/>
        <w:jc w:val="center"/>
        <w:rPr>
          <w:rFonts w:hint="eastAsia" w:ascii="黑体" w:hAnsi="黑体" w:eastAsia="黑体" w:cs="宋体"/>
          <w:b/>
          <w:sz w:val="32"/>
          <w:szCs w:val="32"/>
          <w:highlight w:val="none"/>
        </w:rPr>
      </w:pPr>
      <w:r>
        <w:rPr>
          <w:rFonts w:hint="eastAsia" w:ascii="黑体" w:hAnsi="黑体" w:eastAsia="黑体" w:cs="宋体"/>
          <w:b/>
          <w:sz w:val="32"/>
          <w:szCs w:val="32"/>
          <w:highlight w:val="none"/>
        </w:rPr>
        <w:t>产品用户单位</w:t>
      </w:r>
    </w:p>
    <w:p w14:paraId="67F1D867">
      <w:pPr>
        <w:pStyle w:val="25"/>
        <w:spacing w:line="360" w:lineRule="auto"/>
        <w:jc w:val="center"/>
        <w:rPr>
          <w:rFonts w:hint="eastAsia" w:ascii="黑体" w:hAnsi="黑体" w:eastAsia="黑体" w:cs="宋体"/>
          <w:b/>
          <w:sz w:val="32"/>
          <w:szCs w:val="32"/>
          <w:highlight w:val="none"/>
        </w:rPr>
      </w:pPr>
      <w:r>
        <w:rPr>
          <w:rFonts w:ascii="黑体" w:hAnsi="黑体" w:eastAsia="黑体" w:cs="宋体"/>
          <w:b/>
          <w:sz w:val="32"/>
          <w:szCs w:val="32"/>
          <w:highlight w:val="none"/>
        </w:rPr>
        <w:t>（</w:t>
      </w:r>
      <w:r>
        <w:rPr>
          <w:rFonts w:hint="eastAsia" w:ascii="黑体" w:hAnsi="黑体" w:eastAsia="黑体" w:cs="宋体"/>
          <w:b/>
          <w:sz w:val="32"/>
          <w:szCs w:val="32"/>
          <w:highlight w:val="none"/>
          <w:lang w:val="en-US" w:eastAsia="zh-CN"/>
        </w:rPr>
        <w:t>近三年</w:t>
      </w:r>
      <w:r>
        <w:rPr>
          <w:rFonts w:ascii="黑体" w:hAnsi="黑体" w:eastAsia="黑体" w:cs="宋体"/>
          <w:b/>
          <w:sz w:val="32"/>
          <w:szCs w:val="32"/>
          <w:highlight w:val="none"/>
        </w:rPr>
        <w:t>）</w:t>
      </w:r>
    </w:p>
    <w:tbl>
      <w:tblPr>
        <w:tblStyle w:val="12"/>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5"/>
              <w:jc w:val="center"/>
              <w:rPr>
                <w:rFonts w:hint="eastAsia"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5"/>
              <w:jc w:val="center"/>
              <w:rPr>
                <w:rFonts w:hint="eastAsia"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5"/>
              <w:jc w:val="center"/>
              <w:rPr>
                <w:rFonts w:hint="eastAsia"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5"/>
              <w:jc w:val="center"/>
              <w:rPr>
                <w:rFonts w:hint="eastAsia"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5"/>
              <w:jc w:val="center"/>
              <w:rPr>
                <w:rFonts w:hint="eastAsia" w:cs="宋体" w:asciiTheme="minorEastAsia" w:hAnsiTheme="minorEastAsia"/>
                <w:b/>
                <w:szCs w:val="24"/>
              </w:rPr>
            </w:pPr>
          </w:p>
        </w:tc>
        <w:tc>
          <w:tcPr>
            <w:tcW w:w="2462" w:type="dxa"/>
            <w:vAlign w:val="center"/>
          </w:tcPr>
          <w:p w14:paraId="74614E5F">
            <w:pPr>
              <w:pStyle w:val="25"/>
              <w:jc w:val="center"/>
              <w:rPr>
                <w:rFonts w:hint="eastAsia" w:cs="宋体" w:asciiTheme="minorEastAsia" w:hAnsiTheme="minorEastAsia"/>
                <w:b/>
                <w:szCs w:val="24"/>
              </w:rPr>
            </w:pPr>
          </w:p>
        </w:tc>
        <w:tc>
          <w:tcPr>
            <w:tcW w:w="2224" w:type="dxa"/>
            <w:vAlign w:val="center"/>
          </w:tcPr>
          <w:p w14:paraId="4A4F73C2">
            <w:pPr>
              <w:pStyle w:val="25"/>
              <w:jc w:val="center"/>
              <w:rPr>
                <w:rFonts w:hint="eastAsia" w:cs="宋体" w:asciiTheme="minorEastAsia" w:hAnsiTheme="minorEastAsia"/>
                <w:b/>
                <w:szCs w:val="24"/>
              </w:rPr>
            </w:pPr>
          </w:p>
        </w:tc>
        <w:tc>
          <w:tcPr>
            <w:tcW w:w="1773" w:type="dxa"/>
            <w:vAlign w:val="center"/>
          </w:tcPr>
          <w:p w14:paraId="5BE4C2DC">
            <w:pPr>
              <w:pStyle w:val="25"/>
              <w:jc w:val="center"/>
              <w:rPr>
                <w:rFonts w:hint="eastAsia"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5"/>
              <w:jc w:val="center"/>
              <w:rPr>
                <w:rFonts w:hint="eastAsia" w:cs="宋体" w:asciiTheme="minorEastAsia" w:hAnsiTheme="minorEastAsia"/>
                <w:b/>
                <w:szCs w:val="24"/>
              </w:rPr>
            </w:pPr>
          </w:p>
        </w:tc>
        <w:tc>
          <w:tcPr>
            <w:tcW w:w="2462" w:type="dxa"/>
            <w:vAlign w:val="center"/>
          </w:tcPr>
          <w:p w14:paraId="60FD410D">
            <w:pPr>
              <w:pStyle w:val="25"/>
              <w:jc w:val="center"/>
              <w:rPr>
                <w:rFonts w:hint="eastAsia" w:cs="宋体" w:asciiTheme="minorEastAsia" w:hAnsiTheme="minorEastAsia"/>
                <w:b/>
                <w:szCs w:val="24"/>
              </w:rPr>
            </w:pPr>
          </w:p>
        </w:tc>
        <w:tc>
          <w:tcPr>
            <w:tcW w:w="2224" w:type="dxa"/>
            <w:vAlign w:val="center"/>
          </w:tcPr>
          <w:p w14:paraId="47F6A41B">
            <w:pPr>
              <w:pStyle w:val="25"/>
              <w:jc w:val="center"/>
              <w:rPr>
                <w:rFonts w:hint="eastAsia" w:cs="宋体" w:asciiTheme="minorEastAsia" w:hAnsiTheme="minorEastAsia"/>
                <w:b/>
                <w:szCs w:val="24"/>
              </w:rPr>
            </w:pPr>
          </w:p>
        </w:tc>
        <w:tc>
          <w:tcPr>
            <w:tcW w:w="1773" w:type="dxa"/>
            <w:vAlign w:val="center"/>
          </w:tcPr>
          <w:p w14:paraId="7F20FCEA">
            <w:pPr>
              <w:pStyle w:val="25"/>
              <w:jc w:val="center"/>
              <w:rPr>
                <w:rFonts w:hint="eastAsia"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5"/>
              <w:jc w:val="center"/>
              <w:rPr>
                <w:rFonts w:hint="eastAsia" w:cs="宋体" w:asciiTheme="minorEastAsia" w:hAnsiTheme="minorEastAsia"/>
                <w:b/>
                <w:szCs w:val="24"/>
              </w:rPr>
            </w:pPr>
          </w:p>
        </w:tc>
        <w:tc>
          <w:tcPr>
            <w:tcW w:w="2462" w:type="dxa"/>
            <w:vAlign w:val="center"/>
          </w:tcPr>
          <w:p w14:paraId="6E3973A5">
            <w:pPr>
              <w:pStyle w:val="25"/>
              <w:jc w:val="center"/>
              <w:rPr>
                <w:rFonts w:hint="eastAsia" w:cs="宋体" w:asciiTheme="minorEastAsia" w:hAnsiTheme="minorEastAsia"/>
                <w:b/>
                <w:szCs w:val="24"/>
              </w:rPr>
            </w:pPr>
          </w:p>
        </w:tc>
        <w:tc>
          <w:tcPr>
            <w:tcW w:w="2224" w:type="dxa"/>
            <w:vAlign w:val="center"/>
          </w:tcPr>
          <w:p w14:paraId="3591E3DB">
            <w:pPr>
              <w:pStyle w:val="25"/>
              <w:jc w:val="center"/>
              <w:rPr>
                <w:rFonts w:hint="eastAsia" w:cs="宋体" w:asciiTheme="minorEastAsia" w:hAnsiTheme="minorEastAsia"/>
                <w:b/>
                <w:szCs w:val="24"/>
              </w:rPr>
            </w:pPr>
          </w:p>
        </w:tc>
        <w:tc>
          <w:tcPr>
            <w:tcW w:w="1773" w:type="dxa"/>
            <w:vAlign w:val="center"/>
          </w:tcPr>
          <w:p w14:paraId="42780273">
            <w:pPr>
              <w:pStyle w:val="25"/>
              <w:jc w:val="center"/>
              <w:rPr>
                <w:rFonts w:hint="eastAsia"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5"/>
              <w:jc w:val="center"/>
              <w:rPr>
                <w:rFonts w:hint="eastAsia" w:cs="宋体" w:asciiTheme="minorEastAsia" w:hAnsiTheme="minorEastAsia"/>
                <w:b/>
                <w:szCs w:val="24"/>
              </w:rPr>
            </w:pPr>
          </w:p>
        </w:tc>
        <w:tc>
          <w:tcPr>
            <w:tcW w:w="2462" w:type="dxa"/>
            <w:vAlign w:val="center"/>
          </w:tcPr>
          <w:p w14:paraId="21D2B70A">
            <w:pPr>
              <w:pStyle w:val="25"/>
              <w:jc w:val="center"/>
              <w:rPr>
                <w:rFonts w:hint="eastAsia" w:cs="宋体" w:asciiTheme="minorEastAsia" w:hAnsiTheme="minorEastAsia"/>
                <w:b/>
                <w:szCs w:val="24"/>
              </w:rPr>
            </w:pPr>
          </w:p>
        </w:tc>
        <w:tc>
          <w:tcPr>
            <w:tcW w:w="2224" w:type="dxa"/>
            <w:vAlign w:val="center"/>
          </w:tcPr>
          <w:p w14:paraId="27794820">
            <w:pPr>
              <w:pStyle w:val="25"/>
              <w:jc w:val="center"/>
              <w:rPr>
                <w:rFonts w:hint="eastAsia" w:cs="宋体" w:asciiTheme="minorEastAsia" w:hAnsiTheme="minorEastAsia"/>
                <w:b/>
                <w:szCs w:val="24"/>
              </w:rPr>
            </w:pPr>
          </w:p>
        </w:tc>
        <w:tc>
          <w:tcPr>
            <w:tcW w:w="1773" w:type="dxa"/>
            <w:vAlign w:val="center"/>
          </w:tcPr>
          <w:p w14:paraId="0896047E">
            <w:pPr>
              <w:pStyle w:val="25"/>
              <w:jc w:val="center"/>
              <w:rPr>
                <w:rFonts w:hint="eastAsia"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5"/>
              <w:jc w:val="center"/>
              <w:rPr>
                <w:rFonts w:hint="eastAsia" w:cs="宋体" w:asciiTheme="minorEastAsia" w:hAnsiTheme="minorEastAsia"/>
                <w:b/>
                <w:szCs w:val="24"/>
              </w:rPr>
            </w:pPr>
          </w:p>
        </w:tc>
        <w:tc>
          <w:tcPr>
            <w:tcW w:w="2462" w:type="dxa"/>
            <w:vAlign w:val="center"/>
          </w:tcPr>
          <w:p w14:paraId="7E4CB294">
            <w:pPr>
              <w:pStyle w:val="25"/>
              <w:jc w:val="center"/>
              <w:rPr>
                <w:rFonts w:hint="eastAsia" w:cs="宋体" w:asciiTheme="minorEastAsia" w:hAnsiTheme="minorEastAsia"/>
                <w:b/>
                <w:szCs w:val="24"/>
              </w:rPr>
            </w:pPr>
          </w:p>
        </w:tc>
        <w:tc>
          <w:tcPr>
            <w:tcW w:w="2224" w:type="dxa"/>
            <w:vAlign w:val="center"/>
          </w:tcPr>
          <w:p w14:paraId="71B38B20">
            <w:pPr>
              <w:pStyle w:val="25"/>
              <w:jc w:val="center"/>
              <w:rPr>
                <w:rFonts w:hint="eastAsia" w:cs="宋体" w:asciiTheme="minorEastAsia" w:hAnsiTheme="minorEastAsia"/>
                <w:b/>
                <w:szCs w:val="24"/>
              </w:rPr>
            </w:pPr>
          </w:p>
        </w:tc>
        <w:tc>
          <w:tcPr>
            <w:tcW w:w="1773" w:type="dxa"/>
            <w:vAlign w:val="center"/>
          </w:tcPr>
          <w:p w14:paraId="35F7D826">
            <w:pPr>
              <w:pStyle w:val="25"/>
              <w:jc w:val="center"/>
              <w:rPr>
                <w:rFonts w:hint="eastAsia"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5"/>
              <w:jc w:val="center"/>
              <w:rPr>
                <w:rFonts w:hint="eastAsia" w:cs="宋体" w:asciiTheme="minorEastAsia" w:hAnsiTheme="minorEastAsia"/>
                <w:b/>
                <w:szCs w:val="24"/>
              </w:rPr>
            </w:pPr>
          </w:p>
        </w:tc>
        <w:tc>
          <w:tcPr>
            <w:tcW w:w="2462" w:type="dxa"/>
            <w:vAlign w:val="center"/>
          </w:tcPr>
          <w:p w14:paraId="017CE8C3">
            <w:pPr>
              <w:pStyle w:val="25"/>
              <w:jc w:val="center"/>
              <w:rPr>
                <w:rFonts w:hint="eastAsia" w:cs="宋体" w:asciiTheme="minorEastAsia" w:hAnsiTheme="minorEastAsia"/>
                <w:b/>
                <w:szCs w:val="24"/>
              </w:rPr>
            </w:pPr>
          </w:p>
        </w:tc>
        <w:tc>
          <w:tcPr>
            <w:tcW w:w="2224" w:type="dxa"/>
            <w:vAlign w:val="center"/>
          </w:tcPr>
          <w:p w14:paraId="1DA455B3">
            <w:pPr>
              <w:pStyle w:val="25"/>
              <w:jc w:val="center"/>
              <w:rPr>
                <w:rFonts w:hint="eastAsia" w:cs="宋体" w:asciiTheme="minorEastAsia" w:hAnsiTheme="minorEastAsia"/>
                <w:b/>
                <w:szCs w:val="24"/>
              </w:rPr>
            </w:pPr>
          </w:p>
        </w:tc>
        <w:tc>
          <w:tcPr>
            <w:tcW w:w="1773" w:type="dxa"/>
            <w:vAlign w:val="center"/>
          </w:tcPr>
          <w:p w14:paraId="0D0D9BB4">
            <w:pPr>
              <w:pStyle w:val="25"/>
              <w:jc w:val="center"/>
              <w:rPr>
                <w:rFonts w:hint="eastAsia"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5"/>
              <w:jc w:val="center"/>
              <w:rPr>
                <w:rFonts w:hint="eastAsia" w:cs="宋体" w:asciiTheme="minorEastAsia" w:hAnsiTheme="minorEastAsia"/>
                <w:b/>
                <w:szCs w:val="24"/>
              </w:rPr>
            </w:pPr>
          </w:p>
        </w:tc>
        <w:tc>
          <w:tcPr>
            <w:tcW w:w="2462" w:type="dxa"/>
            <w:vAlign w:val="center"/>
          </w:tcPr>
          <w:p w14:paraId="39AEF30C">
            <w:pPr>
              <w:pStyle w:val="25"/>
              <w:jc w:val="center"/>
              <w:rPr>
                <w:rFonts w:hint="eastAsia" w:cs="宋体" w:asciiTheme="minorEastAsia" w:hAnsiTheme="minorEastAsia"/>
                <w:b/>
                <w:szCs w:val="24"/>
              </w:rPr>
            </w:pPr>
          </w:p>
        </w:tc>
        <w:tc>
          <w:tcPr>
            <w:tcW w:w="2224" w:type="dxa"/>
            <w:vAlign w:val="center"/>
          </w:tcPr>
          <w:p w14:paraId="5BFD2D79">
            <w:pPr>
              <w:pStyle w:val="25"/>
              <w:jc w:val="center"/>
              <w:rPr>
                <w:rFonts w:hint="eastAsia" w:cs="宋体" w:asciiTheme="minorEastAsia" w:hAnsiTheme="minorEastAsia"/>
                <w:b/>
                <w:szCs w:val="24"/>
              </w:rPr>
            </w:pPr>
          </w:p>
        </w:tc>
        <w:tc>
          <w:tcPr>
            <w:tcW w:w="1773" w:type="dxa"/>
            <w:vAlign w:val="center"/>
          </w:tcPr>
          <w:p w14:paraId="08B999FF">
            <w:pPr>
              <w:pStyle w:val="25"/>
              <w:jc w:val="center"/>
              <w:rPr>
                <w:rFonts w:hint="eastAsia"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hint="eastAsia" w:ascii="宋体" w:hAnsi="宋体" w:cs="宋体"/>
          <w:color w:val="000000"/>
          <w:kern w:val="0"/>
          <w:sz w:val="22"/>
        </w:rPr>
      </w:pPr>
    </w:p>
    <w:p w14:paraId="3617AEBA">
      <w:pPr>
        <w:widowControl/>
        <w:jc w:val="left"/>
        <w:rPr>
          <w:rFonts w:hint="eastAsia" w:ascii="宋体" w:hAnsi="宋体" w:cs="宋体"/>
          <w:color w:val="000000"/>
          <w:kern w:val="0"/>
          <w:sz w:val="22"/>
        </w:rPr>
      </w:pPr>
    </w:p>
    <w:p w14:paraId="1C65EB4C">
      <w:pPr>
        <w:rPr>
          <w:rFonts w:hint="eastAsia" w:ascii="宋体" w:hAnsi="宋体" w:cs="宋体"/>
          <w:color w:val="000000"/>
          <w:kern w:val="0"/>
          <w:sz w:val="22"/>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EAE0">
    <w:pPr>
      <w:pStyle w:val="9"/>
      <w:jc w:val="right"/>
    </w:pPr>
    <w:r>
      <w:fldChar w:fldCharType="begin"/>
    </w:r>
    <w:r>
      <w:instrText xml:space="preserve"> PAGE   \* MERGEFORMAT </w:instrText>
    </w:r>
    <w:r>
      <w:fldChar w:fldCharType="separate"/>
    </w:r>
    <w:r>
      <w:rPr>
        <w:lang w:val="zh-CN"/>
      </w:rPr>
      <w:t>5</w:t>
    </w:r>
    <w:r>
      <w:fldChar w:fldCharType="end"/>
    </w:r>
  </w:p>
  <w:p w14:paraId="2BB2114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10"/>
      <w:jc w:val="left"/>
      <w:rPr>
        <w:rFonts w:hint="default" w:eastAsiaTheme="minorEastAsia"/>
        <w:lang w:val="en-US" w:eastAsia="zh-CN"/>
      </w:rPr>
    </w:pPr>
    <w:r>
      <w:t>浙江医院医用耗材</w:t>
    </w:r>
    <w:r>
      <w:rPr>
        <w:rFonts w:hint="eastAsia"/>
        <w:lang w:val="en-US" w:eastAsia="zh-CN"/>
      </w:rPr>
      <w:t>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D5848B21"/>
    <w:multiLevelType w:val="singleLevel"/>
    <w:tmpl w:val="D5848B21"/>
    <w:lvl w:ilvl="0" w:tentative="0">
      <w:start w:val="5"/>
      <w:numFmt w:val="chineseCounting"/>
      <w:suff w:val="space"/>
      <w:lvlText w:val="第%1章"/>
      <w:lvlJc w:val="left"/>
      <w:rPr>
        <w:rFonts w:hint="eastAsia"/>
      </w:rPr>
    </w:lvl>
  </w:abstractNum>
  <w:abstractNum w:abstractNumId="2">
    <w:nsid w:val="F0BCA1A9"/>
    <w:multiLevelType w:val="multilevel"/>
    <w:tmpl w:val="F0BCA1A9"/>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00000012"/>
    <w:multiLevelType w:val="multilevel"/>
    <w:tmpl w:val="00000012"/>
    <w:lvl w:ilvl="0" w:tentative="0">
      <w:start w:val="1"/>
      <w:numFmt w:val="decimal"/>
      <w:lvlText w:val="%1."/>
      <w:lvlJc w:val="left"/>
      <w:pPr>
        <w:ind w:left="845" w:hanging="420"/>
      </w:pPr>
      <w:rPr>
        <w:rFonts w:ascii="宋体" w:hAnsi="宋体" w:eastAsia="宋体"/>
      </w:rPr>
    </w:lvl>
    <w:lvl w:ilvl="1" w:tentative="0">
      <w:start w:val="1"/>
      <w:numFmt w:val="lowerLetter"/>
      <w:lvlText w:val="%1)"/>
      <w:lvlJc w:val="left"/>
      <w:pPr>
        <w:ind w:left="1265" w:hanging="420"/>
      </w:pPr>
    </w:lvl>
    <w:lvl w:ilvl="2" w:tentative="0">
      <w:start w:val="1"/>
      <w:numFmt w:val="lowerRoman"/>
      <w:lvlText w:val="%1."/>
      <w:lvlJc w:val="right"/>
      <w:pPr>
        <w:ind w:left="1685" w:hanging="420"/>
      </w:pPr>
    </w:lvl>
    <w:lvl w:ilvl="3" w:tentative="0">
      <w:start w:val="1"/>
      <w:numFmt w:val="decimal"/>
      <w:lvlText w:val="%1."/>
      <w:lvlJc w:val="left"/>
      <w:pPr>
        <w:ind w:left="2105" w:hanging="420"/>
      </w:pPr>
    </w:lvl>
    <w:lvl w:ilvl="4" w:tentative="0">
      <w:start w:val="1"/>
      <w:numFmt w:val="lowerLetter"/>
      <w:lvlText w:val="%1)"/>
      <w:lvlJc w:val="left"/>
      <w:pPr>
        <w:ind w:left="2525" w:hanging="420"/>
      </w:pPr>
    </w:lvl>
    <w:lvl w:ilvl="5" w:tentative="0">
      <w:start w:val="1"/>
      <w:numFmt w:val="lowerRoman"/>
      <w:lvlText w:val="%1."/>
      <w:lvlJc w:val="right"/>
      <w:pPr>
        <w:ind w:left="2945" w:hanging="420"/>
      </w:pPr>
    </w:lvl>
    <w:lvl w:ilvl="6" w:tentative="0">
      <w:start w:val="1"/>
      <w:numFmt w:val="decimal"/>
      <w:lvlText w:val="%1."/>
      <w:lvlJc w:val="left"/>
      <w:pPr>
        <w:ind w:left="3365" w:hanging="420"/>
      </w:pPr>
    </w:lvl>
    <w:lvl w:ilvl="7" w:tentative="0">
      <w:start w:val="1"/>
      <w:numFmt w:val="lowerLetter"/>
      <w:lvlText w:val="%1)"/>
      <w:lvlJc w:val="left"/>
      <w:pPr>
        <w:ind w:left="3785" w:hanging="420"/>
      </w:pPr>
    </w:lvl>
    <w:lvl w:ilvl="8" w:tentative="0">
      <w:start w:val="1"/>
      <w:numFmt w:val="lowerRoman"/>
      <w:lvlText w:val="%1."/>
      <w:lvlJc w:val="right"/>
      <w:pPr>
        <w:ind w:left="4205" w:hanging="420"/>
      </w:pPr>
    </w:lvl>
  </w:abstractNum>
  <w:abstractNum w:abstractNumId="4">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B877C68"/>
    <w:multiLevelType w:val="multilevel"/>
    <w:tmpl w:val="0B877C68"/>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1FE972A6"/>
    <w:multiLevelType w:val="multilevel"/>
    <w:tmpl w:val="1FE972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3CA016C"/>
    <w:multiLevelType w:val="singleLevel"/>
    <w:tmpl w:val="23CA016C"/>
    <w:lvl w:ilvl="0" w:tentative="0">
      <w:start w:val="5"/>
      <w:numFmt w:val="chineseCounting"/>
      <w:suff w:val="space"/>
      <w:lvlText w:val="第%1章"/>
      <w:lvlJc w:val="left"/>
      <w:rPr>
        <w:rFonts w:hint="eastAsia"/>
      </w:rPr>
    </w:lvl>
  </w:abstractNum>
  <w:abstractNum w:abstractNumId="9">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4A46C96"/>
    <w:multiLevelType w:val="multilevel"/>
    <w:tmpl w:val="54A46C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6C181961"/>
    <w:multiLevelType w:val="multilevel"/>
    <w:tmpl w:val="6C18196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7"/>
  </w:num>
  <w:num w:numId="2">
    <w:abstractNumId w:val="5"/>
  </w:num>
  <w:num w:numId="3">
    <w:abstractNumId w:val="4"/>
  </w:num>
  <w:num w:numId="4">
    <w:abstractNumId w:val="1"/>
  </w:num>
  <w:num w:numId="5">
    <w:abstractNumId w:val="2"/>
  </w:num>
  <w:num w:numId="6">
    <w:abstractNumId w:val="12"/>
  </w:num>
  <w:num w:numId="7">
    <w:abstractNumId w:val="8"/>
  </w:num>
  <w:num w:numId="8">
    <w:abstractNumId w:val="7"/>
  </w:num>
  <w:num w:numId="9">
    <w:abstractNumId w:val="13"/>
  </w:num>
  <w:num w:numId="10">
    <w:abstractNumId w:val="3"/>
  </w:num>
  <w:num w:numId="11">
    <w:abstractNumId w:val="16"/>
  </w:num>
  <w:num w:numId="12">
    <w:abstractNumId w:val="6"/>
  </w:num>
  <w:num w:numId="13">
    <w:abstractNumId w:val="9"/>
  </w:num>
  <w:num w:numId="14">
    <w:abstractNumId w:val="10"/>
  </w:num>
  <w:num w:numId="15">
    <w:abstractNumId w:val="15"/>
  </w:num>
  <w:num w:numId="16">
    <w:abstractNumId w:val="0"/>
  </w:num>
  <w:num w:numId="17">
    <w:abstractNumId w:val="14"/>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6A9C"/>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85404"/>
    <w:rsid w:val="004C19FF"/>
    <w:rsid w:val="004C353E"/>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51BCA"/>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03DD52EC"/>
    <w:rsid w:val="05AC4466"/>
    <w:rsid w:val="061854A7"/>
    <w:rsid w:val="075F49B5"/>
    <w:rsid w:val="0A0C7063"/>
    <w:rsid w:val="0C2B0D06"/>
    <w:rsid w:val="0D406AF2"/>
    <w:rsid w:val="130F3E82"/>
    <w:rsid w:val="2551282A"/>
    <w:rsid w:val="2757686A"/>
    <w:rsid w:val="2FFA0520"/>
    <w:rsid w:val="333948D8"/>
    <w:rsid w:val="3A1B4BB0"/>
    <w:rsid w:val="3A8B2B59"/>
    <w:rsid w:val="435215CF"/>
    <w:rsid w:val="536B03F1"/>
    <w:rsid w:val="54BB3A03"/>
    <w:rsid w:val="5B282EB8"/>
    <w:rsid w:val="635C3367"/>
    <w:rsid w:val="64904827"/>
    <w:rsid w:val="65DB1EE0"/>
    <w:rsid w:val="6B124C01"/>
    <w:rsid w:val="7C372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semiHidden/>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6">
    <w:name w:val="Plain Text"/>
    <w:basedOn w:val="1"/>
    <w:link w:val="29"/>
    <w:unhideWhenUsed/>
    <w:qFormat/>
    <w:uiPriority w:val="0"/>
    <w:pPr>
      <w:spacing w:beforeLines="50" w:afterLines="50" w:line="400" w:lineRule="exact"/>
    </w:pPr>
    <w:rPr>
      <w:rFonts w:ascii="宋体" w:hAnsi="Courier New" w:eastAsia="Times New Roman" w:cstheme="minorBidi"/>
      <w:sz w:val="24"/>
      <w:szCs w:val="24"/>
    </w:rPr>
  </w:style>
  <w:style w:type="paragraph" w:styleId="7">
    <w:name w:val="Body Text Indent 2"/>
    <w:basedOn w:val="1"/>
    <w:qFormat/>
    <w:uiPriority w:val="0"/>
    <w:pPr>
      <w:spacing w:after="120" w:line="480" w:lineRule="auto"/>
      <w:ind w:left="420" w:leftChars="200"/>
    </w:pPr>
  </w:style>
  <w:style w:type="paragraph" w:styleId="8">
    <w:name w:val="Balloon Text"/>
    <w:basedOn w:val="1"/>
    <w:link w:val="22"/>
    <w:semiHidden/>
    <w:unhideWhenUsed/>
    <w:qFormat/>
    <w:uiPriority w:val="99"/>
    <w:rPr>
      <w:rFonts w:ascii="Times New Roman" w:hAnsi="Times New Roman"/>
      <w:sz w:val="18"/>
      <w:szCs w:val="18"/>
    </w:rPr>
  </w:style>
  <w:style w:type="paragraph" w:styleId="9">
    <w:name w:val="footer"/>
    <w:basedOn w:val="1"/>
    <w:link w:val="21"/>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link w:val="34"/>
    <w:qFormat/>
    <w:uiPriority w:val="0"/>
    <w:pPr>
      <w:widowControl/>
      <w:spacing w:before="100" w:beforeAutospacing="1" w:after="100" w:afterAutospacing="1"/>
      <w:jc w:val="left"/>
    </w:pPr>
    <w:rPr>
      <w:rFonts w:ascii="宋体" w:hAnsi="宋体" w:eastAsiaTheme="minorEastAsia" w:cstheme="minorBidi"/>
      <w:sz w:val="24"/>
    </w:rPr>
  </w:style>
  <w:style w:type="table" w:styleId="13">
    <w:name w:val="Table Grid"/>
    <w:basedOn w:val="12"/>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unhideWhenUsed/>
    <w:qFormat/>
    <w:uiPriority w:val="99"/>
    <w:rPr>
      <w:color w:val="0563C1" w:themeColor="hyperlink"/>
      <w:u w:val="single"/>
      <w14:textFill>
        <w14:solidFill>
          <w14:schemeClr w14:val="hlink"/>
        </w14:solidFill>
      </w14:textFill>
    </w:rPr>
  </w:style>
  <w:style w:type="paragraph" w:styleId="17">
    <w:name w:val="List Paragraph"/>
    <w:basedOn w:val="1"/>
    <w:qFormat/>
    <w:uiPriority w:val="34"/>
    <w:pPr>
      <w:ind w:firstLine="420" w:firstLineChars="200"/>
    </w:pPr>
  </w:style>
  <w:style w:type="character" w:customStyle="1" w:styleId="18">
    <w:name w:val="标题 1 字符"/>
    <w:basedOn w:val="14"/>
    <w:link w:val="3"/>
    <w:qFormat/>
    <w:uiPriority w:val="9"/>
    <w:rPr>
      <w:rFonts w:ascii="Calibri" w:hAnsi="Calibri" w:eastAsia="宋体" w:cs="Times New Roman"/>
      <w:b/>
      <w:bCs/>
      <w:kern w:val="44"/>
      <w:sz w:val="44"/>
      <w:szCs w:val="44"/>
    </w:rPr>
  </w:style>
  <w:style w:type="character" w:customStyle="1" w:styleId="19">
    <w:name w:val="标题 2 字符"/>
    <w:basedOn w:val="14"/>
    <w:link w:val="4"/>
    <w:qFormat/>
    <w:uiPriority w:val="9"/>
    <w:rPr>
      <w:rFonts w:asciiTheme="majorHAnsi" w:hAnsiTheme="majorHAnsi" w:eastAsiaTheme="majorEastAsia" w:cstheme="majorBidi"/>
      <w:b/>
      <w:bCs/>
      <w:sz w:val="32"/>
      <w:szCs w:val="32"/>
    </w:rPr>
  </w:style>
  <w:style w:type="character" w:customStyle="1" w:styleId="20">
    <w:name w:val="页眉 字符"/>
    <w:basedOn w:val="14"/>
    <w:link w:val="10"/>
    <w:qFormat/>
    <w:uiPriority w:val="99"/>
    <w:rPr>
      <w:sz w:val="18"/>
      <w:szCs w:val="18"/>
    </w:rPr>
  </w:style>
  <w:style w:type="character" w:customStyle="1" w:styleId="21">
    <w:name w:val="页脚 字符"/>
    <w:basedOn w:val="14"/>
    <w:link w:val="9"/>
    <w:qFormat/>
    <w:uiPriority w:val="0"/>
    <w:rPr>
      <w:sz w:val="18"/>
      <w:szCs w:val="18"/>
    </w:rPr>
  </w:style>
  <w:style w:type="character" w:customStyle="1" w:styleId="22">
    <w:name w:val="批注框文本 字符"/>
    <w:basedOn w:val="14"/>
    <w:link w:val="8"/>
    <w:semiHidden/>
    <w:qFormat/>
    <w:uiPriority w:val="99"/>
    <w:rPr>
      <w:rFonts w:ascii="Times New Roman" w:hAnsi="Times New Roman" w:eastAsia="宋体" w:cs="Times New Roman"/>
      <w:sz w:val="18"/>
      <w:szCs w:val="18"/>
    </w:rPr>
  </w:style>
  <w:style w:type="paragraph" w:customStyle="1" w:styleId="23">
    <w:name w:val="彩色列表 - 强调文字颜色 11"/>
    <w:basedOn w:val="1"/>
    <w:qFormat/>
    <w:uiPriority w:val="34"/>
    <w:pPr>
      <w:ind w:firstLine="420" w:firstLineChars="200"/>
    </w:pPr>
  </w:style>
  <w:style w:type="paragraph" w:customStyle="1" w:styleId="2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5">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7">
    <w:name w:val="样式1 Char Char"/>
    <w:link w:val="28"/>
    <w:qFormat/>
    <w:uiPriority w:val="0"/>
    <w:rPr>
      <w:rFonts w:ascii="Arial" w:hAnsi="Arial"/>
      <w:szCs w:val="24"/>
    </w:rPr>
  </w:style>
  <w:style w:type="paragraph" w:customStyle="1" w:styleId="28">
    <w:name w:val="样式1"/>
    <w:basedOn w:val="1"/>
    <w:link w:val="27"/>
    <w:qFormat/>
    <w:uiPriority w:val="0"/>
    <w:pPr>
      <w:spacing w:line="360" w:lineRule="exact"/>
      <w:ind w:firstLine="200" w:firstLineChars="200"/>
    </w:pPr>
    <w:rPr>
      <w:rFonts w:ascii="Arial" w:hAnsi="Arial" w:eastAsiaTheme="minorEastAsia" w:cstheme="minorBidi"/>
      <w:szCs w:val="24"/>
    </w:rPr>
  </w:style>
  <w:style w:type="character" w:customStyle="1" w:styleId="29">
    <w:name w:val="纯文本 字符"/>
    <w:basedOn w:val="14"/>
    <w:link w:val="6"/>
    <w:qFormat/>
    <w:locked/>
    <w:uiPriority w:val="0"/>
    <w:rPr>
      <w:rFonts w:ascii="宋体" w:hAnsi="Courier New" w:eastAsia="Times New Roman"/>
      <w:sz w:val="24"/>
      <w:szCs w:val="24"/>
    </w:rPr>
  </w:style>
  <w:style w:type="character" w:customStyle="1" w:styleId="30">
    <w:name w:val="纯文本 Char1"/>
    <w:basedOn w:val="14"/>
    <w:qFormat/>
    <w:uiPriority w:val="0"/>
    <w:rPr>
      <w:rFonts w:ascii="宋体" w:hAnsi="Courier New" w:eastAsia="宋体" w:cs="Courier New"/>
      <w:szCs w:val="21"/>
    </w:rPr>
  </w:style>
  <w:style w:type="paragraph" w:customStyle="1" w:styleId="31">
    <w:name w:val="标题3"/>
    <w:basedOn w:val="5"/>
    <w:next w:val="1"/>
    <w:link w:val="32"/>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2">
    <w:name w:val="标题3 字符"/>
    <w:basedOn w:val="33"/>
    <w:link w:val="31"/>
    <w:qFormat/>
    <w:uiPriority w:val="0"/>
    <w:rPr>
      <w:rFonts w:ascii="Calibri" w:hAnsi="Calibri" w:eastAsia="宋体" w:cs="Times New Roman"/>
      <w:bCs w:val="0"/>
      <w:sz w:val="24"/>
      <w:szCs w:val="32"/>
    </w:rPr>
  </w:style>
  <w:style w:type="character" w:customStyle="1" w:styleId="33">
    <w:name w:val="标题 3 字符"/>
    <w:basedOn w:val="14"/>
    <w:link w:val="5"/>
    <w:semiHidden/>
    <w:qFormat/>
    <w:uiPriority w:val="9"/>
    <w:rPr>
      <w:rFonts w:ascii="Calibri" w:hAnsi="Calibri" w:eastAsia="宋体" w:cs="Times New Roman"/>
      <w:b/>
      <w:bCs/>
      <w:sz w:val="32"/>
      <w:szCs w:val="32"/>
    </w:rPr>
  </w:style>
  <w:style w:type="character" w:customStyle="1" w:styleId="34">
    <w:name w:val="普通(网站) 字符"/>
    <w:link w:val="11"/>
    <w:qFormat/>
    <w:uiPriority w:val="0"/>
    <w:rPr>
      <w:rFonts w:ascii="宋体" w:hAnsi="宋体"/>
      <w:sz w:val="24"/>
    </w:rPr>
  </w:style>
  <w:style w:type="character" w:customStyle="1" w:styleId="35">
    <w:name w:val="NormalCharacter"/>
    <w:qFormat/>
    <w:uiPriority w:val="0"/>
  </w:style>
  <w:style w:type="character" w:customStyle="1" w:styleId="36">
    <w:name w:val="font21"/>
    <w:basedOn w:val="14"/>
    <w:qFormat/>
    <w:uiPriority w:val="0"/>
    <w:rPr>
      <w:rFonts w:hint="eastAsia" w:ascii="宋体" w:hAnsi="宋体" w:eastAsia="宋体" w:cs="宋体"/>
      <w:color w:val="000000"/>
      <w:sz w:val="20"/>
      <w:szCs w:val="20"/>
      <w:u w:val="none"/>
    </w:rPr>
  </w:style>
  <w:style w:type="character" w:customStyle="1" w:styleId="37">
    <w:name w:val="font41"/>
    <w:basedOn w:val="14"/>
    <w:qFormat/>
    <w:uiPriority w:val="0"/>
    <w:rPr>
      <w:rFonts w:hint="eastAsia" w:ascii="宋体" w:hAnsi="宋体" w:eastAsia="宋体" w:cs="宋体"/>
      <w:color w:val="FF0000"/>
      <w:sz w:val="20"/>
      <w:szCs w:val="20"/>
      <w:u w:val="none"/>
    </w:rPr>
  </w:style>
  <w:style w:type="character" w:customStyle="1" w:styleId="38">
    <w:name w:val="font11"/>
    <w:basedOn w:val="1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c3930888-488a-456b-965b-fc9c8a92cdb3</errorID>
      <errorWord>:</errorWord>
      <group>L1_Format</group>
      <groupName>格式问题</groupName>
      <ability>L2_HalfPunc_CN</ability>
      <abilityName>全半角问题</abilityName>
      <candidateList>
        <item>：</item>
      </candidateList>
      <explain>文本全半角错误。</explain>
      <paraID>1AF4FC90</paraID>
      <start>4</start>
      <end>5</end>
      <status>modified</status>
      <modifiedWord>：</modifiedWord>
      <trackRevisions>false</trackRevisions>
    </reviewItem>
    <reviewItem>
      <errorID>f030faa3-2dc1-45be-90d8-990f759f0a0b</errorID>
      <errorWord>到</errorWord>
      <group>L1_Word</group>
      <groupName>字词问题</groupName>
      <ability>L2_Typo</ability>
      <abilityName>字词错误</abilityName>
      <candidateList>
        <item>至</item>
      </candidateList>
      <explain>存在字形相近字词的误用。</explain>
      <paraID>37DC4116</paraID>
      <start>32</start>
      <end>33</end>
      <status>modified</status>
      <modifiedWord>至</modifiedWord>
      <trackRevisions>false</trackRevisions>
    </reviewItem>
    <reviewItem>
      <errorID>3c5c0b2c-0eda-432b-857f-647f6d8f0f1f</errorID>
      <errorWord>需</errorWord>
      <group>L1_Word</group>
      <groupName>字词问题</groupName>
      <ability>L2_Typo</ability>
      <abilityName>字词错误</abilityName>
      <candidateList>
        <item>须</item>
      </candidateList>
      <explain>存在发音相同字词的误用。</explain>
      <paraID>12D9C974</paraID>
      <start>9</start>
      <end>10</end>
      <status>modified</status>
      <modifiedWord>须</modifiedWord>
      <trackRevisions>false</trackRevisions>
    </reviewItem>
    <reviewItem>
      <errorID>0e30178d-c9bf-42bd-ae58-dd438a96bfae</errorID>
      <errorWord>、且</errorWord>
      <group>L1_Word</group>
      <groupName>字词问题</groupName>
      <ability>L2_Typo</ability>
      <abilityName>字词错误</abilityName>
      <candidateList>
        <item>且</item>
      </candidateList>
      <explain/>
      <paraID>12D9C974</paraID>
      <start>20</start>
      <end>21</end>
      <status>modified</status>
      <modifiedWord>且</modifiedWord>
      <trackRevisions>false</trackRevisions>
    </reviewItem>
    <reviewItem>
      <errorID>08683430-4d68-469f-84c2-12a00af58d7b</errorID>
      <errorWord>（</errorWord>
      <group>L1_Punc</group>
      <groupName>标点问题</groupName>
      <ability>L2_Punc_CN</ability>
      <abilityName>标点符号问题</abilityName>
      <candidateList/>
      <explain>同一形式括号套用。</explain>
      <paraID> 22B8EE8</paraID>
      <start>66</start>
      <end>67</end>
      <status>ignored</status>
      <modifiedWord/>
      <trackRevisions>false</trackRevisions>
    </reviewItem>
    <reviewItem>
      <errorID>c11611ff-35d5-4c9c-a93b-e22308e55ebd</errorID>
      <errorWord>）</errorWord>
      <group>L1_Punc</group>
      <groupName>标点问题</groupName>
      <ability>L2_Punc_CN</ability>
      <abilityName>标点符号问题</abilityName>
      <candidateList/>
      <explain>同一形式括号套用。</explain>
      <paraID> 22B8EE8</paraID>
      <start>89</start>
      <end>90</end>
      <status>ignored</status>
      <modifiedWord/>
      <trackRevisions>false</trackRevisions>
    </reviewItem>
    <reviewItem>
      <errorID>34ab5a71-275f-44f5-96cf-bbe2f4e668e9</errorID>
      <errorWord>（</errorWord>
      <group>L1_Punc</group>
      <groupName>标点问题</groupName>
      <ability>L2_Punc_CN</ability>
      <abilityName>标点符号问题</abilityName>
      <candidateList/>
      <explain>同一形式括号套用。</explain>
      <paraID> 22B8EE8</paraID>
      <start>98</start>
      <end>99</end>
      <status>ignored</status>
      <modifiedWord/>
      <trackRevisions>false</trackRevisions>
    </reviewItem>
    <reviewItem>
      <errorID>b37fae44-87bd-417f-abfa-1bf6d4f9ddc9</errorID>
      <errorWord>）</errorWord>
      <group>L1_Punc</group>
      <groupName>标点问题</groupName>
      <ability>L2_Punc_CN</ability>
      <abilityName>标点符号问题</abilityName>
      <candidateList/>
      <explain>同一形式括号套用。</explain>
      <paraID> 22B8EE8</paraID>
      <start>114</start>
      <end>115</end>
      <status>ignored</status>
      <modifiedWord/>
      <trackRevisions>false</trackRevisions>
    </reviewItem>
    <reviewItem>
      <errorID>b0ca2656-1884-497b-b671-2f747efeb190</errorID>
      <errorWord>（</errorWord>
      <group>L1_Punc</group>
      <groupName>标点问题</groupName>
      <ability>L2_Punc_CN</ability>
      <abilityName>标点符号问题</abilityName>
      <candidateList/>
      <explain>同一形式括号套用。</explain>
      <paraID>4D1409E2</paraID>
      <start>33</start>
      <end>34</end>
      <status>ignored</status>
      <modifiedWord/>
      <trackRevisions>false</trackRevisions>
    </reviewItem>
    <reviewItem>
      <errorID>8220ef56-2396-46a5-a2d3-4e2709912b4f</errorID>
      <errorWord>）</errorWord>
      <group>L1_Punc</group>
      <groupName>标点问题</groupName>
      <ability>L2_Punc_CN</ability>
      <abilityName>标点符号问题</abilityName>
      <candidateList/>
      <explain>同一形式括号套用。</explain>
      <paraID>4D1409E2</paraID>
      <start>61</start>
      <end>62</end>
      <status>ignored</status>
      <modifiedWord/>
      <trackRevisions>false</trackRevisions>
    </reviewItem>
    <reviewItem>
      <errorID>179a2c0f-7d85-42bd-a949-eabd383bd467</errorID>
      <errorWord>需</errorWord>
      <group>L1_Word</group>
      <groupName>字词问题</groupName>
      <ability>L2_Typo</ability>
      <abilityName>字词错误</abilityName>
      <candidateList>
        <item>须</item>
      </candidateList>
      <explain>存在发音相同字词的误用。</explain>
      <paraID>7D121177</paraID>
      <start>4</start>
      <end>5</end>
      <status>modified</status>
      <modifiedWord>须</modifiedWord>
      <trackRevisions>false</trackRevisions>
    </reviewItem>
    <reviewItem>
      <errorID>16033642-591b-487a-b1bb-1c2dd7cb1c63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203D3D2E</paraID>
      <start>22</start>
      <end>23</end>
      <status>modified</status>
      <modifiedWord>—</modifiedWord>
      <trackRevisions>false</trackRevisions>
    </reviewItem>
    <reviewItem>
      <errorID>98d4a498-6860-457c-b680-79195e65cc30</errorID>
      <errorWord>个</errorWord>
      <group>L1_Knowledge</group>
      <groupName>知识性问题</groupName>
      <ability>L2_Knowledge</ability>
      <abilityName>其他知识</abilityName>
      <candidateList>
        <item>张</item>
      </candidateList>
      <explain>请检查“个”是否为量词使用错误，建议修改为“张”。</explain>
      <paraID>2CBFFDB8</paraID>
      <start>20</start>
      <end>21</end>
      <status>modified</status>
      <modifiedWord>张</modifiedWord>
      <trackRevisions>false</trackRevisions>
    </reviewItem>
    <reviewItem>
      <errorID>f57fd630-9df7-4d5c-88c0-44e22c862d35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29</start>
      <end>30</end>
      <status>modified</status>
      <modifiedWord>—</modifiedWord>
      <trackRevisions>false</trackRevisions>
    </reviewItem>
    <reviewItem>
      <errorID>1b69781f-d842-4221-8efc-da79575a7e3d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62</start>
      <end>63</end>
      <status>modified</status>
      <modifiedWord>—</modifiedWord>
      <trackRevisions>false</trackRevisions>
    </reviewItem>
    <reviewItem>
      <errorID>6d98f94a-ac83-4d70-8493-e13acdd0c36c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97</start>
      <end>98</end>
      <status>modified</status>
      <modifiedWord>—</modifiedWord>
      <trackRevisions>false</trackRevisions>
    </reviewItem>
    <reviewItem>
      <errorID>78c7c86c-728b-48ef-82aa-83c6b8c803e7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22</start>
      <end>23</end>
      <status>modified</status>
      <modifiedWord>—</modifiedWord>
      <trackRevisions>false</trackRevisions>
    </reviewItem>
    <reviewItem>
      <errorID>01091337-110c-405d-889d-811b6a6d6ef8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47</start>
      <end>48</end>
      <status>modified</status>
      <modifiedWord>—</modifiedWord>
      <trackRevisions>false</trackRevisions>
    </reviewItem>
    <reviewItem>
      <errorID>2d9cd42f-cb8f-446a-97f1-3e89354fd771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74</start>
      <end>75</end>
      <status>modified</status>
      <modifiedWord>—</modifiedWord>
      <trackRevisions>false</trackRevisions>
    </reviewItem>
    <reviewItem>
      <errorID>9f50a65a-1cc3-42de-8d89-18fb86c67f0e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9B7EAAC</paraID>
      <start>0</start>
      <end>2</end>
      <status>modified</status>
      <modifiedWord>1.</modifiedWord>
      <trackRevisions>false</trackRevisions>
    </reviewItem>
    <reviewItem>
      <errorID>245eaa10-e764-4ff0-85e5-81a636f664ad</errorID>
      <errorWord>其它</errorWord>
      <group>L1_Word</group>
      <groupName>字词问题</groupName>
      <ability>L2_Alias</ability>
      <abilityName>也作/曾用词</abilityName>
      <candidateList>
        <item>其他</item>
      </candidateList>
      <explain>词汇[其它]为不规范表述或旧称，其规范书面表述为[其他]。</explain>
      <paraID>1DE01F37</paraID>
      <start>55</start>
      <end>57</end>
      <status>modified</status>
      <modifiedWord>其他</modifiedWord>
      <trackRevisions>false</trackRevisions>
    </reviewItem>
    <reviewItem>
      <errorID>22070df0-4a7c-47e0-bb70-e5028e5c660a</errorID>
      <errorWord>,</errorWord>
      <group>L1_Format</group>
      <groupName>格式问题</groupName>
      <ability>L2_HalfPunc_CN</ability>
      <abilityName>全半角问题</abilityName>
      <candidateList>
        <item>，</item>
      </candidateList>
      <explain>文本全半角错误。</explain>
      <paraID> 7FA3655</paraID>
      <start>11</start>
      <end>12</end>
      <status>modified</status>
      <modifiedWord>，</modifiedWord>
      <trackRevisions>false</trackRevisions>
    </reviewItem>
    <reviewItem>
      <errorID>2c961b71-3fd7-4ec0-8bac-c271584c99d8</errorID>
      <errorWord>,</errorWord>
      <group>L1_Format</group>
      <groupName>格式问题</groupName>
      <ability>L2_HalfPunc_CN</ability>
      <abilityName>全半角问题</abilityName>
      <candidateList>
        <item>，</item>
      </candidateList>
      <explain>文本全半角错误。</explain>
      <paraID> 7FA3655</paraID>
      <start>20</start>
      <end>21</end>
      <status>modified</status>
      <modifiedWord>，</modifiedWord>
      <trackRevisions>false</trackRevisions>
    </reviewItem>
    <reviewItem>
      <errorID>d5541a6a-3c4f-4893-90be-5c2c6a63dc5f</errorID>
      <errorWord>接受</errorWord>
      <group>L1_Word</group>
      <groupName>字词问题</groupName>
      <ability>L2_Typo</ability>
      <abilityName>字词错误</abilityName>
      <candidateList>
        <item>接收</item>
      </candidateList>
      <explain>存在发音相同字词的误用。</explain>
      <paraID> 7FA3655</paraID>
      <start>41</start>
      <end>43</end>
      <status>modified</status>
      <modifiedWord>接收</modifiedWord>
      <trackRevisions>false</trackRevisions>
    </reviewItem>
    <reviewItem>
      <errorID>b5b400f1-42b3-46b4-9034-6b07db26bc7c</errorID>
      <errorWord>,</errorWord>
      <group>L1_Format</group>
      <groupName>格式问题</groupName>
      <ability>L2_HalfPunc_CN</ability>
      <abilityName>全半角问题</abilityName>
      <candidateList>
        <item>，</item>
      </candidateList>
      <explain>文本全半角错误。</explain>
      <paraID> 7FA3655</paraID>
      <start>57</start>
      <end>58</end>
      <status>modified</status>
      <modifiedWord>，</modifiedWord>
      <trackRevisions>false</trackRevisions>
    </reviewItem>
    <reviewItem>
      <errorID>038123b1-3cf1-4ed8-a466-5f559a5cef52</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39742CCC</paraID>
      <start>36</start>
      <end>40</end>
      <status>modified</status>
      <modifiedWord>其他损失</modifiedWord>
      <trackRevisions>false</trackRevisions>
    </reviewItem>
    <reviewItem>
      <errorID>dcbfd351-f6eb-4d9d-9398-6906c83fb1ac</errorID>
      <errorWord>做如下承诺</errorWord>
      <group>L1_Word</group>
      <groupName>字词问题</groupName>
      <ability>L2_Typo</ability>
      <abilityName>字词错误</abilityName>
      <candidateList>
        <item>作如下承诺</item>
      </candidateList>
      <explain/>
      <paraID>7240439C</paraID>
      <start>46</start>
      <end>51</end>
      <status>modified</status>
      <modifiedWord>作如下承诺</modifiedWord>
      <trackRevisions>false</trackRevisions>
    </reviewItem>
    <reviewItem>
      <errorID>2924450f-e134-4693-a7f2-b4aac7f8b354</errorID>
      <errorWord>（</errorWord>
      <group>L1_Punc</group>
      <groupName>标点问题</groupName>
      <ability>L2_Punc_CN</ability>
      <abilityName>标点符号问题</abilityName>
      <candidateList/>
      <explain>同一形式括号套用。</explain>
      <paraID>2D9E4853</paraID>
      <start>36</start>
      <end>37</end>
      <status>ignored</status>
      <modifiedWord/>
      <trackRevisions>false</trackRevisions>
    </reviewItem>
    <reviewItem>
      <errorID>ad64bd22-07ec-49dd-858b-459ad648694b</errorID>
      <errorWord>）</errorWord>
      <group>L1_Punc</group>
      <groupName>标点问题</groupName>
      <ability>L2_Punc_CN</ability>
      <abilityName>标点符号问题</abilityName>
      <candidateList/>
      <explain>同一形式括号套用。</explain>
      <paraID>2D9E4853</paraID>
      <start>64</start>
      <end>65</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e389e-5318-45d2-95d0-8a6d369c4178}">
  <ds:schemaRefs/>
</ds:datastoreItem>
</file>

<file path=customXml/itemProps2.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29</Pages>
  <Words>54</Words>
  <Characters>73</Characters>
  <Lines>354</Lines>
  <Paragraphs>343</Paragraphs>
  <TotalTime>1</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2026-11-04T02:51:54Z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3F215A85C20C44DAB39B83BF7D8E151D_13</vt:lpwstr>
  </property>
  <property fmtid="{D5CDD505-2E9C-101B-9397-08002B2CF9AE}" pid="4" name="KSOTemplateDocerSaveRecord">
    <vt:lpwstr>eyJoZGlkIjoiNDZjNDRmZDdkNjQ5NTIzODE1NGU3Y2QyODY2YWU5MTMiLCJ1c2VySWQiOiIxMjUyMjMxNzQwIn0=</vt:lpwstr>
  </property>
</Properties>
</file>