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8A03">
      <w:pPr>
        <w:ind w:right="-110"/>
        <w:jc w:val="left"/>
        <w:rPr>
          <w:rFonts w:ascii="宋体" w:hAnsi="宋体"/>
          <w:spacing w:val="40"/>
          <w:sz w:val="28"/>
          <w:szCs w:val="52"/>
        </w:rPr>
      </w:pP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4"/>
        <w:gridCol w:w="5622"/>
      </w:tblGrid>
      <w:tr w14:paraId="2C88B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3144" w:type="dxa"/>
            <w:vAlign w:val="center"/>
          </w:tcPr>
          <w:p w14:paraId="1B956419">
            <w:pPr>
              <w:pStyle w:val="10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</w:rPr>
              <w:t>项目名称</w:t>
            </w:r>
          </w:p>
        </w:tc>
        <w:tc>
          <w:tcPr>
            <w:tcW w:w="5622" w:type="dxa"/>
            <w:vAlign w:val="center"/>
          </w:tcPr>
          <w:p w14:paraId="5A58CA83">
            <w:pPr>
              <w:pStyle w:val="10"/>
              <w:spacing w:before="75" w:beforeAutospacing="0" w:after="75" w:afterAutospacing="0"/>
              <w:jc w:val="center"/>
              <w:rPr>
                <w:rFonts w:hint="default" w:cs="Times New Roman"/>
                <w:b/>
                <w:spacing w:val="40"/>
                <w:kern w:val="2"/>
                <w:szCs w:val="52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pacing w:val="40"/>
                <w:kern w:val="2"/>
                <w:sz w:val="24"/>
                <w:szCs w:val="48"/>
                <w:lang w:val="en-US" w:eastAsia="zh-CN"/>
              </w:rPr>
              <w:t>两院区新能源汽车充电服务项目</w:t>
            </w:r>
          </w:p>
        </w:tc>
      </w:tr>
      <w:tr w14:paraId="76B9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144" w:type="dxa"/>
            <w:vAlign w:val="center"/>
          </w:tcPr>
          <w:p w14:paraId="24EEFAC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5622" w:type="dxa"/>
            <w:vAlign w:val="center"/>
          </w:tcPr>
          <w:p w14:paraId="5EF55A56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0428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7DADFC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5622" w:type="dxa"/>
            <w:vAlign w:val="center"/>
          </w:tcPr>
          <w:p w14:paraId="606885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3A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3144" w:type="dxa"/>
            <w:vAlign w:val="center"/>
          </w:tcPr>
          <w:p w14:paraId="17ED780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622" w:type="dxa"/>
            <w:vAlign w:val="center"/>
          </w:tcPr>
          <w:p w14:paraId="55BAB59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B9D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3144" w:type="dxa"/>
            <w:vAlign w:val="center"/>
          </w:tcPr>
          <w:p w14:paraId="7803513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622" w:type="dxa"/>
            <w:vAlign w:val="center"/>
          </w:tcPr>
          <w:p w14:paraId="0280903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647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3144" w:type="dxa"/>
            <w:vAlign w:val="center"/>
          </w:tcPr>
          <w:p w14:paraId="521ED31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622" w:type="dxa"/>
            <w:vAlign w:val="center"/>
          </w:tcPr>
          <w:p w14:paraId="36651C8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188FA931">
      <w:pPr>
        <w:ind w:right="-110"/>
        <w:jc w:val="left"/>
        <w:rPr>
          <w:rFonts w:ascii="宋体" w:hAnsi="宋体"/>
          <w:spacing w:val="40"/>
          <w:szCs w:val="21"/>
        </w:rPr>
      </w:pPr>
      <w:r>
        <w:rPr>
          <w:rFonts w:ascii="宋体" w:hAnsi="宋体"/>
          <w:spacing w:val="40"/>
          <w:szCs w:val="21"/>
        </w:rPr>
        <w:br w:type="page"/>
      </w:r>
    </w:p>
    <w:p w14:paraId="567A8FDC">
      <w:pPr>
        <w:widowControl/>
        <w:jc w:val="left"/>
        <w:rPr>
          <w:rFonts w:ascii="宋体" w:hAnsi="宋体"/>
          <w:sz w:val="30"/>
          <w:szCs w:val="30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247" w:right="1559" w:bottom="1474" w:left="1797" w:header="851" w:footer="851" w:gutter="0"/>
          <w:cols w:space="425" w:num="1"/>
          <w:docGrid w:linePitch="312" w:charSpace="0"/>
        </w:sectPr>
      </w:pPr>
    </w:p>
    <w:p w14:paraId="7392DD59">
      <w:pPr>
        <w:adjustRightInd w:val="0"/>
        <w:snapToGrid w:val="0"/>
        <w:spacing w:before="120" w:beforeLines="50" w:after="120" w:afterLines="50" w:line="360" w:lineRule="auto"/>
        <w:jc w:val="center"/>
        <w:outlineLvl w:val="0"/>
        <w:rPr>
          <w:rFonts w:hint="eastAsia" w:ascii="宋体" w:hAnsi="宋体" w:cs="宋体"/>
          <w:sz w:val="36"/>
        </w:rPr>
      </w:pPr>
      <w:bookmarkStart w:id="0" w:name="_Toc242012796"/>
      <w:bookmarkStart w:id="1" w:name="_Toc38526217"/>
      <w:bookmarkStart w:id="2" w:name="_Toc31190"/>
      <w:r>
        <w:rPr>
          <w:rFonts w:hint="eastAsia" w:ascii="宋体" w:hAnsi="宋体" w:cs="宋体"/>
          <w:b/>
          <w:sz w:val="30"/>
          <w:szCs w:val="30"/>
        </w:rPr>
        <w:t>用户需求书</w:t>
      </w:r>
      <w:bookmarkEnd w:id="0"/>
      <w:bookmarkEnd w:id="1"/>
      <w:bookmarkEnd w:id="2"/>
    </w:p>
    <w:p w14:paraId="615A235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需求内容</w:t>
      </w:r>
    </w:p>
    <w:p w14:paraId="71831A5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 xml:space="preserve">使用对象：主要为本院职工，其次为就诊患者、陪护家属，少量外来社会来访车辆。 </w:t>
      </w:r>
    </w:p>
    <w:p w14:paraId="2ECA0B1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 xml:space="preserve">2. 使用特点：工作日日间充电需求旺盛，短时补电需求大；存在非充电车辆占用充电车位长时间停放现象。医院属于 24 小时不间断运行医疗场所，充电区域严禁占用急救、消防通道，对设备安全性能、故障应急处置时效要求高。 </w:t>
      </w:r>
    </w:p>
    <w:p w14:paraId="7D835C5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 xml:space="preserve">3. 建设条件约束：两院区现有变压器尚有部分负荷余量，若大规模新增直流快充桩，大概率需要实施电力增容；地下车库建设需要严格落实消防、通风、防水防潮、接地防雷要求；地面车位施工尽量减少对院区通行、绿化环境造成破坏；地埋电缆管线为隐蔽工程，后期不得开挖拆除，避免破坏院区路面。 </w:t>
      </w:r>
    </w:p>
    <w:p w14:paraId="0173294E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4. 功能需求：充电桩设备需符合国标 GB/T20234 系列标准，具备过流、过压、漏电保护功能，支持扫码支付；配套后台监控平台，能够远程监测设备运行状态、推送故障告警；充电点位配置消防器材、安全警示标识、视频监控系统。快慢充配置：灵隐院区 1 台直流快充，6台交流慢充；三墩院区 5 台直流快充，5 台交流慢充。</w:t>
      </w:r>
    </w:p>
    <w:p w14:paraId="627E5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二、结算方式</w:t>
      </w:r>
    </w:p>
    <w:p w14:paraId="779AFD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服务费比例固定，收益分配简洁透明</w:t>
      </w:r>
      <w:r>
        <w:rPr>
          <w:rFonts w:hint="eastAsia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。</w:t>
      </w:r>
      <w:r>
        <w:rPr>
          <w:rFonts w:hint="default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充电服务费维持原有标准，按每度电0.35元收取，其中30%服务费</w:t>
      </w:r>
      <w:r>
        <w:rPr>
          <w:rFonts w:hint="eastAsia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（主要用于卫生保洁、安全巡查服务及用电损耗）</w:t>
      </w:r>
      <w:r>
        <w:rPr>
          <w:rFonts w:hint="default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收益归属浙江医院，剩余70%归运营合作方所有</w:t>
      </w:r>
      <w:r>
        <w:rPr>
          <w:rFonts w:hint="eastAsia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。</w:t>
      </w:r>
    </w:p>
    <w:p w14:paraId="2FF0CCA0">
      <w:pPr>
        <w:pStyle w:val="2"/>
        <w:jc w:val="both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  <w:t>、</w:t>
      </w:r>
      <w:r>
        <w:rPr>
          <w:rFonts w:hint="eastAsia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售后履约保障要点</w:t>
      </w:r>
    </w:p>
    <w:p w14:paraId="11729B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 xml:space="preserve">1.投放合作模式资产归属：充电桩桩体、充电枪、标牌等可拆除设施归中选合作方所有；地埋电缆管线等地下隐蔽设施，合作结束后不得开挖拆除，无偿归属医院所有，不得损坏院区路面。 </w:t>
      </w:r>
    </w:p>
    <w:p w14:paraId="54EB83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Cs/>
          <w:snapToGrid w:val="0"/>
          <w:color w:val="000000"/>
          <w:kern w:val="0"/>
          <w:sz w:val="24"/>
          <w:szCs w:val="24"/>
          <w:lang w:val="en-US" w:eastAsia="zh-CN" w:bidi="ar-SA"/>
        </w:rPr>
        <w:t>2.质保运维要求：设备维护、故障抢修、设备老化更新、配件更换全部由合作方承担；要求服务商提供 7×24 小时客服，故障 24 小时到场处置；购买足额公众责任险，承担充电安全事故主要责任。</w:t>
      </w:r>
    </w:p>
    <w:p w14:paraId="2B390BE0">
      <w:pPr>
        <w:pStyle w:val="2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499A171E">
      <w:pPr>
        <w:widowControl/>
        <w:jc w:val="left"/>
        <w:rPr>
          <w:rFonts w:hint="default" w:eastAsia="宋体"/>
          <w:b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  <w:t>具体</w:t>
      </w:r>
      <w:bookmarkStart w:id="3" w:name="_GoBack"/>
      <w:bookmarkEnd w:id="3"/>
      <w:r>
        <w:rPr>
          <w:rFonts w:hint="eastAsia" w:ascii="宋体" w:hAnsi="宋体"/>
          <w:b/>
          <w:color w:val="000000"/>
          <w:sz w:val="28"/>
          <w:szCs w:val="28"/>
          <w:lang w:val="en-US" w:eastAsia="zh-CN"/>
        </w:rPr>
        <w:t>方案：</w:t>
      </w:r>
    </w:p>
    <w:p w14:paraId="7C5C9043">
      <w:pPr>
        <w:widowControl/>
        <w:jc w:val="left"/>
        <w:rPr>
          <w:b/>
          <w:sz w:val="28"/>
          <w:szCs w:val="28"/>
        </w:rPr>
      </w:pPr>
    </w:p>
    <w:p w14:paraId="5B8F2E09"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C182DAA">
      <w:pPr>
        <w:snapToGrid w:val="0"/>
        <w:spacing w:before="50"/>
        <w:jc w:val="center"/>
        <w:rPr>
          <w:rFonts w:ascii="宋体" w:hAnsi="宋体"/>
          <w:b/>
          <w:spacing w:val="40"/>
          <w:kern w:val="0"/>
          <w:sz w:val="28"/>
          <w:szCs w:val="28"/>
        </w:rPr>
      </w:pPr>
      <w:r>
        <w:rPr>
          <w:rFonts w:hint="eastAsia" w:ascii="宋体" w:hAnsi="宋体"/>
          <w:b/>
          <w:spacing w:val="40"/>
          <w:kern w:val="0"/>
          <w:sz w:val="28"/>
          <w:szCs w:val="28"/>
        </w:rPr>
        <w:t>资信及商务响应表</w:t>
      </w:r>
    </w:p>
    <w:p w14:paraId="3BC4CDF2">
      <w:pPr>
        <w:snapToGrid w:val="0"/>
        <w:spacing w:before="120" w:beforeLines="50" w:after="50"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/>
          <w:b/>
          <w:sz w:val="30"/>
          <w:szCs w:val="30"/>
        </w:rPr>
        <w:t>投标人资格承诺函</w:t>
      </w:r>
    </w:p>
    <w:p w14:paraId="051A525C">
      <w:pPr>
        <w:snapToGrid w:val="0"/>
        <w:spacing w:before="120" w:beforeLines="50" w:after="50" w:line="360" w:lineRule="auto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致：</w:t>
      </w: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：</w:t>
      </w:r>
    </w:p>
    <w:p w14:paraId="27D5BC9D">
      <w:pPr>
        <w:snapToGrid w:val="0"/>
        <w:spacing w:before="120" w:beforeLines="50" w:after="50" w:line="360" w:lineRule="auto"/>
        <w:ind w:firstLine="720" w:firstLineChars="30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（投标人名称）符合参加本次政府采购活动的资格条件并承诺如下。</w:t>
      </w:r>
    </w:p>
    <w:p w14:paraId="01B0F124">
      <w:pPr>
        <w:snapToGrid w:val="0"/>
        <w:spacing w:before="120" w:beforeLines="50" w:after="50"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一、满足《中华人民共和国政府采购法》第二十二条规定</w:t>
      </w:r>
    </w:p>
    <w:p w14:paraId="59C3042F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</w:t>
      </w:r>
      <w:r>
        <w:rPr>
          <w:rFonts w:ascii="宋体" w:hAnsi="宋体" w:cs="宋体"/>
          <w:kern w:val="0"/>
          <w:sz w:val="24"/>
        </w:rPr>
        <w:t>具有独立承担民事责任的能力；</w:t>
      </w:r>
    </w:p>
    <w:p w14:paraId="4975421E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2、</w:t>
      </w:r>
      <w:r>
        <w:rPr>
          <w:rFonts w:ascii="宋体" w:hAnsi="宋体" w:cs="宋体"/>
          <w:kern w:val="0"/>
          <w:sz w:val="24"/>
        </w:rPr>
        <w:t>具有良好的商业信誉和健全的财务会计制度；</w:t>
      </w:r>
    </w:p>
    <w:p w14:paraId="782D1D2B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3、</w:t>
      </w:r>
      <w:r>
        <w:rPr>
          <w:rFonts w:ascii="宋体" w:hAnsi="宋体" w:cs="宋体"/>
          <w:kern w:val="0"/>
          <w:sz w:val="24"/>
        </w:rPr>
        <w:t>具有履行合同所必需的设备和专业技术能力；</w:t>
      </w:r>
    </w:p>
    <w:p w14:paraId="51EC516C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4、</w:t>
      </w:r>
      <w:r>
        <w:rPr>
          <w:rFonts w:ascii="宋体" w:hAnsi="宋体" w:cs="宋体"/>
          <w:kern w:val="0"/>
          <w:sz w:val="24"/>
        </w:rPr>
        <w:t>有依法缴纳税收和社会保障资金的良好记录；</w:t>
      </w:r>
    </w:p>
    <w:p w14:paraId="1D68979D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5、</w:t>
      </w:r>
      <w:r>
        <w:rPr>
          <w:rFonts w:ascii="宋体" w:hAnsi="宋体" w:cs="宋体"/>
          <w:kern w:val="0"/>
          <w:sz w:val="24"/>
        </w:rPr>
        <w:t>参加政府采购活动前三年内，在经营活动中没有重大违法记录；</w:t>
      </w:r>
    </w:p>
    <w:p w14:paraId="780156F5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二、未被“信用中国”（www.creditchina.gov.cn</w:t>
      </w:r>
      <w:r>
        <w:rPr>
          <w:rFonts w:hint="eastAsia" w:ascii="宋体" w:hAnsi="宋体" w:cs="宋体"/>
          <w:kern w:val="0"/>
          <w:sz w:val="24"/>
          <w:lang w:eastAsia="zh-CN"/>
        </w:rPr>
        <w:t>）</w:t>
      </w:r>
      <w:r>
        <w:rPr>
          <w:rFonts w:hint="eastAsia" w:ascii="宋体" w:hAnsi="宋体" w:cs="宋体"/>
          <w:kern w:val="0"/>
          <w:sz w:val="24"/>
        </w:rPr>
        <w:t>、中国政府采购网（www.ccgp.gov.cn）列入失信被执行人、重大税收违法案件当事人名单、政府采购严重违法失信行为记录名单。</w:t>
      </w:r>
    </w:p>
    <w:p w14:paraId="73087CEA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262B097E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575765ED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</w:p>
    <w:p w14:paraId="4471E72F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本单位对上述承诺内容的真实性负责。如有虚假，将依法承担相应责任。</w:t>
      </w:r>
    </w:p>
    <w:p w14:paraId="1B7A00A9">
      <w:pPr>
        <w:spacing w:line="360" w:lineRule="auto"/>
        <w:rPr>
          <w:rFonts w:ascii="宋体" w:hAnsi="宋体"/>
          <w:sz w:val="24"/>
        </w:rPr>
      </w:pPr>
    </w:p>
    <w:p w14:paraId="4D9D2C2D">
      <w:pPr>
        <w:spacing w:line="360" w:lineRule="auto"/>
        <w:rPr>
          <w:rFonts w:ascii="宋体" w:hAnsi="宋体"/>
          <w:sz w:val="24"/>
        </w:rPr>
      </w:pPr>
    </w:p>
    <w:p w14:paraId="5ED55348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投标人：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  <w:u w:val="single"/>
        </w:rPr>
        <w:t>（盖章）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</w:t>
      </w:r>
    </w:p>
    <w:p w14:paraId="0D297F5A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6B0D4A90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537EAA91">
      <w:pPr>
        <w:widowControl/>
        <w:spacing w:line="360" w:lineRule="auto"/>
        <w:jc w:val="left"/>
        <w:rPr>
          <w:rFonts w:ascii="宋体" w:hAnsi="宋体" w:cs="Arial"/>
          <w:kern w:val="0"/>
          <w:sz w:val="24"/>
        </w:rPr>
      </w:pPr>
      <w:r>
        <w:rPr>
          <w:rFonts w:ascii="宋体" w:hAnsi="宋体"/>
          <w:sz w:val="24"/>
        </w:rPr>
        <w:t>年    月    日</w:t>
      </w:r>
    </w:p>
    <w:p w14:paraId="3761DC87">
      <w:pPr>
        <w:snapToGrid w:val="0"/>
        <w:spacing w:before="120" w:beforeLines="50" w:after="50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</w:p>
    <w:p w14:paraId="171C1E39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此页</w:t>
      </w:r>
      <w:r>
        <w:rPr>
          <w:rFonts w:hint="eastAsia" w:ascii="宋体" w:hAnsi="宋体"/>
          <w:color w:val="000000"/>
          <w:sz w:val="28"/>
          <w:szCs w:val="28"/>
        </w:rPr>
        <w:t>提供符合年检要求的营业执照副本复印件</w:t>
      </w:r>
    </w:p>
    <w:p w14:paraId="60F0E81B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0981CCC5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此页提供经营许可证</w:t>
      </w:r>
    </w:p>
    <w:p w14:paraId="121773FF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5C36CEBF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>此页提供浙江省内用户名单</w:t>
      </w:r>
      <w:r>
        <w:rPr>
          <w:rFonts w:hint="eastAsia" w:ascii="宋体" w:hAnsi="宋体"/>
          <w:color w:val="000000"/>
          <w:sz w:val="28"/>
          <w:szCs w:val="28"/>
        </w:rPr>
        <w:t>及采购日期、政府招标编号、合同复印件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4"/>
        <w:gridCol w:w="2434"/>
        <w:gridCol w:w="2369"/>
        <w:gridCol w:w="2035"/>
      </w:tblGrid>
      <w:tr w14:paraId="13E2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restart"/>
            <w:vAlign w:val="center"/>
          </w:tcPr>
          <w:p w14:paraId="7DBA966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近三年浙江省内类似业绩</w:t>
            </w:r>
            <w:r>
              <w:rPr>
                <w:rFonts w:hint="eastAsia" w:ascii="宋体" w:hAnsi="宋体"/>
                <w:spacing w:val="40"/>
                <w:sz w:val="28"/>
                <w:szCs w:val="52"/>
              </w:rPr>
              <w:t>（至少5例）</w:t>
            </w:r>
          </w:p>
        </w:tc>
        <w:tc>
          <w:tcPr>
            <w:tcW w:w="3208" w:type="dxa"/>
            <w:vAlign w:val="center"/>
          </w:tcPr>
          <w:p w14:paraId="36BC503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用户名</w:t>
            </w:r>
          </w:p>
        </w:tc>
        <w:tc>
          <w:tcPr>
            <w:tcW w:w="3118" w:type="dxa"/>
            <w:vAlign w:val="center"/>
          </w:tcPr>
          <w:p w14:paraId="5541E7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招标编号</w:t>
            </w:r>
          </w:p>
        </w:tc>
        <w:tc>
          <w:tcPr>
            <w:tcW w:w="2653" w:type="dxa"/>
            <w:vAlign w:val="center"/>
          </w:tcPr>
          <w:p w14:paraId="69F5F2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采购日期</w:t>
            </w:r>
          </w:p>
        </w:tc>
      </w:tr>
      <w:tr w14:paraId="6ACA2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6AD242A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1D9B44EE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D1904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6142BDF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A14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1BCE288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2F58DC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42EAB8F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01681B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469C3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5AE455E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094E858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77A30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54FD430C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2E0E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28971DE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786CED4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6E0A44CD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036223E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50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55356D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47EB510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5E59701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5A0697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766C1341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14:paraId="25AF4656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</w:pPr>
    </w:p>
    <w:p w14:paraId="6BA6B07A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  <w:sectPr>
          <w:headerReference r:id="rId7" w:type="default"/>
          <w:pgSz w:w="11906" w:h="16838"/>
          <w:pgMar w:top="1440" w:right="1800" w:bottom="1440" w:left="1800" w:header="851" w:footer="851" w:gutter="0"/>
          <w:cols w:space="425" w:num="1"/>
          <w:docGrid w:linePitch="312" w:charSpace="0"/>
        </w:sectPr>
      </w:pPr>
    </w:p>
    <w:p w14:paraId="2266C4F9">
      <w:pPr>
        <w:widowControl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合同复印件：</w:t>
      </w:r>
    </w:p>
    <w:sectPr>
      <w:pgSz w:w="11906" w:h="16838"/>
      <w:pgMar w:top="720" w:right="720" w:bottom="720" w:left="720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E24ED">
    <w:pPr>
      <w:pStyle w:val="8"/>
      <w:framePr w:wrap="around" w:vAnchor="text" w:hAnchor="margin" w:xAlign="right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rPr>
        <w:rStyle w:val="16"/>
      </w:rPr>
      <w:t>6</w:t>
    </w:r>
    <w:r>
      <w:fldChar w:fldCharType="end"/>
    </w:r>
  </w:p>
  <w:p w14:paraId="0A791DC1">
    <w:pPr>
      <w:pStyle w:val="8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B5B44">
    <w:pPr>
      <w:pStyle w:val="8"/>
      <w:framePr w:wrap="around" w:vAnchor="text" w:hAnchor="margin" w:xAlign="right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end"/>
    </w:r>
  </w:p>
  <w:p w14:paraId="60E622E1">
    <w:pPr>
      <w:pStyle w:val="8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965D1">
    <w:pPr>
      <w:pStyle w:val="8"/>
      <w:framePr w:wrap="around" w:vAnchor="text" w:hAnchor="margin" w:xAlign="right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rPr>
        <w:rStyle w:val="16"/>
      </w:rPr>
      <w:t>1</w:t>
    </w:r>
    <w:r>
      <w:fldChar w:fldCharType="end"/>
    </w:r>
  </w:p>
  <w:p w14:paraId="665FE5C6">
    <w:pPr>
      <w:pStyle w:val="8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A060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7C872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B3A12A"/>
    <w:multiLevelType w:val="singleLevel"/>
    <w:tmpl w:val="C4B3A12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47281EA"/>
    <w:multiLevelType w:val="singleLevel"/>
    <w:tmpl w:val="547281E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jZGEzZWZlMDI5ZTk2NTkyMmI3MmIyNTdjMGRjMGEifQ=="/>
    <w:docVar w:name="KSO_WPS_MARK_KEY" w:val="ff79ba7f-99b0-4d91-9e5e-ea017d93e177"/>
  </w:docVars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6294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73500"/>
    <w:rsid w:val="00192B91"/>
    <w:rsid w:val="0019606E"/>
    <w:rsid w:val="001A0A3E"/>
    <w:rsid w:val="001A23BB"/>
    <w:rsid w:val="001A618E"/>
    <w:rsid w:val="001B557D"/>
    <w:rsid w:val="001B5836"/>
    <w:rsid w:val="001B69C6"/>
    <w:rsid w:val="001C7A0A"/>
    <w:rsid w:val="001D5219"/>
    <w:rsid w:val="001E63A7"/>
    <w:rsid w:val="001F6454"/>
    <w:rsid w:val="002029CA"/>
    <w:rsid w:val="002366B1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48E"/>
    <w:rsid w:val="003B7C36"/>
    <w:rsid w:val="003D5A7C"/>
    <w:rsid w:val="003F2981"/>
    <w:rsid w:val="003F5FD3"/>
    <w:rsid w:val="004103E3"/>
    <w:rsid w:val="004173FF"/>
    <w:rsid w:val="00417F42"/>
    <w:rsid w:val="00427726"/>
    <w:rsid w:val="00442F4F"/>
    <w:rsid w:val="00452AB2"/>
    <w:rsid w:val="00456AA5"/>
    <w:rsid w:val="00465808"/>
    <w:rsid w:val="0046715A"/>
    <w:rsid w:val="0047001C"/>
    <w:rsid w:val="004A4120"/>
    <w:rsid w:val="004A6E6E"/>
    <w:rsid w:val="004B4902"/>
    <w:rsid w:val="004B664A"/>
    <w:rsid w:val="004C4CCD"/>
    <w:rsid w:val="004E5062"/>
    <w:rsid w:val="004E63C0"/>
    <w:rsid w:val="004F05F7"/>
    <w:rsid w:val="005022E4"/>
    <w:rsid w:val="0050323B"/>
    <w:rsid w:val="005037DC"/>
    <w:rsid w:val="00513218"/>
    <w:rsid w:val="005141DA"/>
    <w:rsid w:val="00517F1F"/>
    <w:rsid w:val="005225D3"/>
    <w:rsid w:val="00557046"/>
    <w:rsid w:val="005609A0"/>
    <w:rsid w:val="00577530"/>
    <w:rsid w:val="0058382A"/>
    <w:rsid w:val="005847B4"/>
    <w:rsid w:val="00595074"/>
    <w:rsid w:val="005A06EF"/>
    <w:rsid w:val="005B536B"/>
    <w:rsid w:val="005C4181"/>
    <w:rsid w:val="005D6ED2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A6619"/>
    <w:rsid w:val="006B56EF"/>
    <w:rsid w:val="006C5344"/>
    <w:rsid w:val="006D3294"/>
    <w:rsid w:val="006D62C8"/>
    <w:rsid w:val="006E1297"/>
    <w:rsid w:val="006E300D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2BE"/>
    <w:rsid w:val="00776B52"/>
    <w:rsid w:val="0078603A"/>
    <w:rsid w:val="007A6A4B"/>
    <w:rsid w:val="007A7D4D"/>
    <w:rsid w:val="007C44A6"/>
    <w:rsid w:val="007D52F4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2052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97DE3"/>
    <w:rsid w:val="00AA7C8E"/>
    <w:rsid w:val="00AC38D7"/>
    <w:rsid w:val="00AD0351"/>
    <w:rsid w:val="00AD5D7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027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044C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87C43"/>
    <w:rsid w:val="00C9144F"/>
    <w:rsid w:val="00C9280E"/>
    <w:rsid w:val="00C93FB8"/>
    <w:rsid w:val="00CA39E2"/>
    <w:rsid w:val="00CA43FB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85347"/>
    <w:rsid w:val="00DA626B"/>
    <w:rsid w:val="00DB02F8"/>
    <w:rsid w:val="00DB1791"/>
    <w:rsid w:val="00DB4794"/>
    <w:rsid w:val="00DC2000"/>
    <w:rsid w:val="00DE1799"/>
    <w:rsid w:val="00DF2A80"/>
    <w:rsid w:val="00DF387B"/>
    <w:rsid w:val="00DF7835"/>
    <w:rsid w:val="00E0445B"/>
    <w:rsid w:val="00E0526B"/>
    <w:rsid w:val="00E0579B"/>
    <w:rsid w:val="00E21F81"/>
    <w:rsid w:val="00E251AF"/>
    <w:rsid w:val="00E273BA"/>
    <w:rsid w:val="00E277E0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D33F8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8552F"/>
    <w:rsid w:val="00FA7F69"/>
    <w:rsid w:val="00FB372D"/>
    <w:rsid w:val="00FC519D"/>
    <w:rsid w:val="00FD457C"/>
    <w:rsid w:val="00FD4ED3"/>
    <w:rsid w:val="00FE425A"/>
    <w:rsid w:val="09AF5ECF"/>
    <w:rsid w:val="103F3D25"/>
    <w:rsid w:val="10E65DFE"/>
    <w:rsid w:val="130B2FC9"/>
    <w:rsid w:val="1C2D5B40"/>
    <w:rsid w:val="268C3D52"/>
    <w:rsid w:val="2C4B5AD5"/>
    <w:rsid w:val="2F865C08"/>
    <w:rsid w:val="397A17A6"/>
    <w:rsid w:val="4012098A"/>
    <w:rsid w:val="4D7E2A43"/>
    <w:rsid w:val="556F163B"/>
    <w:rsid w:val="5B6B6D49"/>
    <w:rsid w:val="5D6F56A5"/>
    <w:rsid w:val="69750B97"/>
    <w:rsid w:val="6C1A6F15"/>
    <w:rsid w:val="73F751C6"/>
    <w:rsid w:val="76995EFE"/>
    <w:rsid w:val="7AD9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link w:val="23"/>
    <w:qFormat/>
    <w:uiPriority w:val="0"/>
    <w:pPr>
      <w:ind w:firstLine="420" w:firstLineChars="200"/>
    </w:pPr>
    <w:rPr>
      <w:szCs w:val="20"/>
    </w:rPr>
  </w:style>
  <w:style w:type="paragraph" w:styleId="5">
    <w:name w:val="Body Text Indent"/>
    <w:basedOn w:val="1"/>
    <w:link w:val="26"/>
    <w:semiHidden/>
    <w:unhideWhenUsed/>
    <w:qFormat/>
    <w:uiPriority w:val="99"/>
    <w:pPr>
      <w:spacing w:after="120"/>
      <w:ind w:left="420" w:leftChars="200"/>
    </w:pPr>
    <w:rPr>
      <w:rFonts w:asciiTheme="minorHAnsi" w:hAnsiTheme="minorHAnsi" w:eastAsiaTheme="minorEastAsia" w:cstheme="minorBidi"/>
    </w:rPr>
  </w:style>
  <w:style w:type="paragraph" w:styleId="6">
    <w:name w:val="Date"/>
    <w:basedOn w:val="1"/>
    <w:next w:val="1"/>
    <w:link w:val="22"/>
    <w:qFormat/>
    <w:uiPriority w:val="0"/>
    <w:rPr>
      <w:sz w:val="24"/>
      <w:szCs w:val="20"/>
    </w:rPr>
  </w:style>
  <w:style w:type="paragraph" w:styleId="7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 2"/>
    <w:basedOn w:val="5"/>
    <w:next w:val="1"/>
    <w:qFormat/>
    <w:uiPriority w:val="0"/>
    <w:pPr>
      <w:spacing w:after="120" w:line="240" w:lineRule="auto"/>
      <w:ind w:left="420" w:leftChars="200" w:firstLine="420"/>
    </w:pPr>
    <w:rPr>
      <w:rFonts w:cs="宋体"/>
      <w:sz w:val="21"/>
      <w:szCs w:val="21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page number"/>
    <w:basedOn w:val="14"/>
    <w:qFormat/>
    <w:uiPriority w:val="0"/>
  </w:style>
  <w:style w:type="character" w:customStyle="1" w:styleId="17">
    <w:name w:val="页眉 Char"/>
    <w:basedOn w:val="14"/>
    <w:link w:val="9"/>
    <w:qFormat/>
    <w:uiPriority w:val="99"/>
    <w:rPr>
      <w:sz w:val="18"/>
      <w:szCs w:val="18"/>
    </w:rPr>
  </w:style>
  <w:style w:type="character" w:customStyle="1" w:styleId="18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19">
    <w:name w:val="批注框文本 Char"/>
    <w:basedOn w:val="14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2">
    <w:name w:val="日期 Char"/>
    <w:basedOn w:val="14"/>
    <w:link w:val="6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23">
    <w:name w:val="正文缩进 Char"/>
    <w:link w:val="4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24">
    <w:name w:val="15_0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5">
    <w:name w:val="标题 2 Char"/>
    <w:basedOn w:val="14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6">
    <w:name w:val="正文文本缩进 Char"/>
    <w:basedOn w:val="14"/>
    <w:link w:val="5"/>
    <w:semiHidden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78937-23E2-47C6-BB2B-78D2802A8A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6358</Words>
  <Characters>7949</Characters>
  <Lines>67</Lines>
  <Paragraphs>19</Paragraphs>
  <TotalTime>1</TotalTime>
  <ScaleCrop>false</ScaleCrop>
  <LinksUpToDate>false</LinksUpToDate>
  <CharactersWithSpaces>8030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2024-04-02T01:45:00Z</dcterms:created>
  <dc:creator>Estella</dc:creator>
  <cp:lastModifiedBy>大粒粒</cp:lastModifiedBy>
  <dcterms:modified xsi:type="dcterms:W3CDTF">2026-10-23T07:53:00Z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7F0EA5990F2C47C1AA054576A7A92DA2_12</vt:lpwstr>
  </property>
  <property fmtid="{D5CDD505-2E9C-101B-9397-08002B2CF9AE}" pid="4" name="KSOTemplateDocerSaveRecord">
    <vt:lpwstr>eyJoZGlkIjoiNGM5MzdkNGE1ODFkNTBmMzRkY2Q4YmNkNDQ2MmFhNWUiLCJ1c2VySWQiOiIxMjExMDA5OTU3In0=</vt:lpwstr>
  </property>
</Properties>
</file>