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488ED">
      <w:pPr>
        <w:widowControl/>
        <w:spacing w:after="0" w:line="240" w:lineRule="auto"/>
        <w:jc w:val="center"/>
        <w:rPr>
          <w:rFonts w:hint="default" w:ascii="Times New Roman" w:hAnsi="Times New Roman" w:eastAsia="方正小标宋简体" w:cs="Times New Roman"/>
          <w:b w:val="0"/>
          <w:bCs w:val="0"/>
          <w:color w:val="auto"/>
          <w:sz w:val="36"/>
          <w:szCs w:val="36"/>
        </w:rPr>
      </w:pPr>
      <w:r>
        <w:rPr>
          <w:rStyle w:val="4"/>
          <w:rFonts w:hint="default" w:ascii="Times New Roman" w:hAnsi="Times New Roman" w:eastAsia="方正小标宋简体" w:cs="Times New Roman"/>
          <w:b w:val="0"/>
          <w:bCs w:val="0"/>
          <w:color w:val="auto"/>
          <w:sz w:val="36"/>
          <w:szCs w:val="36"/>
        </w:rPr>
        <w:t>浙江</w:t>
      </w:r>
      <w:r>
        <w:rPr>
          <w:rStyle w:val="4"/>
          <w:rFonts w:hint="eastAsia" w:ascii="Times New Roman" w:hAnsi="Times New Roman" w:eastAsia="方正小标宋简体" w:cs="Times New Roman"/>
          <w:b w:val="0"/>
          <w:bCs w:val="0"/>
          <w:color w:val="auto"/>
          <w:sz w:val="36"/>
          <w:szCs w:val="36"/>
          <w:lang w:val="en-US" w:eastAsia="zh-CN"/>
        </w:rPr>
        <w:t>医学科技</w:t>
      </w:r>
      <w:r>
        <w:rPr>
          <w:rStyle w:val="4"/>
          <w:rFonts w:hint="default" w:ascii="Times New Roman" w:hAnsi="Times New Roman" w:eastAsia="方正小标宋简体" w:cs="Times New Roman"/>
          <w:b w:val="0"/>
          <w:bCs w:val="0"/>
          <w:color w:val="auto"/>
          <w:sz w:val="36"/>
          <w:szCs w:val="36"/>
        </w:rPr>
        <w:t>奖公示信息表</w:t>
      </w:r>
    </w:p>
    <w:p w14:paraId="6AED731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cs="宋体"/>
          <w:color w:val="C00000"/>
          <w:sz w:val="21"/>
          <w:szCs w:val="21"/>
          <w:lang w:val="en-US" w:eastAsia="zh-CN"/>
        </w:rPr>
      </w:pPr>
    </w:p>
    <w:tbl>
      <w:tblPr>
        <w:tblStyle w:val="2"/>
        <w:tblW w:w="8359"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58"/>
        <w:gridCol w:w="5601"/>
      </w:tblGrid>
      <w:tr w14:paraId="240C6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2758" w:type="dxa"/>
            <w:noWrap w:val="0"/>
            <w:vAlign w:val="center"/>
          </w:tcPr>
          <w:p w14:paraId="56086A58">
            <w:pPr>
              <w:jc w:val="center"/>
              <w:rPr>
                <w:rFonts w:hint="default" w:ascii="Times New Roman" w:hAnsi="Times New Roman" w:eastAsia="仿宋_GB2312" w:cs="Times New Roman"/>
                <w:b w:val="0"/>
                <w:color w:val="auto"/>
                <w:sz w:val="28"/>
                <w:lang w:val="en-US" w:eastAsia="zh-CN"/>
              </w:rPr>
            </w:pPr>
            <w:r>
              <w:rPr>
                <w:rStyle w:val="4"/>
                <w:rFonts w:hint="eastAsia" w:ascii="Times New Roman" w:hAnsi="Times New Roman" w:eastAsia="仿宋_GB2312" w:cs="Times New Roman"/>
                <w:color w:val="auto"/>
                <w:sz w:val="28"/>
                <w:lang w:val="en-US" w:eastAsia="zh-CN"/>
              </w:rPr>
              <w:t>推荐奖种</w:t>
            </w:r>
          </w:p>
        </w:tc>
        <w:tc>
          <w:tcPr>
            <w:tcW w:w="5601" w:type="dxa"/>
            <w:noWrap w:val="0"/>
            <w:vAlign w:val="center"/>
          </w:tcPr>
          <w:p w14:paraId="6DB6434D">
            <w:pPr>
              <w:spacing w:line="440" w:lineRule="exact"/>
              <w:jc w:val="center"/>
              <w:rPr>
                <w:rFonts w:hint="default" w:ascii="Times New Roman" w:hAnsi="Times New Roman" w:eastAsia="仿宋_GB2312" w:cs="Times New Roman"/>
                <w:bCs/>
                <w:sz w:val="24"/>
              </w:rPr>
            </w:pPr>
            <w:r>
              <w:rPr>
                <w:rFonts w:hint="eastAsia"/>
              </w:rPr>
              <w:t>医学科学技术奖</w:t>
            </w:r>
            <w:r>
              <w:rPr>
                <w:rFonts w:hint="eastAsia"/>
                <w:lang w:val="en-US" w:eastAsia="zh-CN"/>
              </w:rPr>
              <w:t>一</w:t>
            </w:r>
            <w:r>
              <w:rPr>
                <w:rFonts w:hint="eastAsia"/>
              </w:rPr>
              <w:t>等奖</w:t>
            </w:r>
          </w:p>
        </w:tc>
      </w:tr>
      <w:tr w14:paraId="4E057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2758" w:type="dxa"/>
            <w:noWrap w:val="0"/>
            <w:vAlign w:val="center"/>
          </w:tcPr>
          <w:p w14:paraId="13FCA494">
            <w:pPr>
              <w:jc w:val="center"/>
              <w:rPr>
                <w:rFonts w:hint="default" w:ascii="Times New Roman" w:hAnsi="Times New Roman" w:eastAsia="仿宋_GB2312" w:cs="Times New Roman"/>
                <w:b w:val="0"/>
                <w:color w:val="auto"/>
                <w:sz w:val="28"/>
                <w:lang w:val="en-US" w:eastAsia="zh-CN"/>
              </w:rPr>
            </w:pPr>
            <w:r>
              <w:rPr>
                <w:rStyle w:val="4"/>
                <w:rFonts w:hint="eastAsia" w:ascii="Times New Roman" w:hAnsi="Times New Roman" w:eastAsia="仿宋_GB2312" w:cs="Times New Roman"/>
                <w:color w:val="auto"/>
                <w:sz w:val="28"/>
                <w:lang w:val="en-US" w:eastAsia="zh-CN"/>
              </w:rPr>
              <w:t>项目名称</w:t>
            </w:r>
          </w:p>
        </w:tc>
        <w:tc>
          <w:tcPr>
            <w:tcW w:w="5601" w:type="dxa"/>
            <w:noWrap w:val="0"/>
            <w:vAlign w:val="center"/>
          </w:tcPr>
          <w:p w14:paraId="6E2BD30B">
            <w:pPr>
              <w:spacing w:line="440" w:lineRule="exact"/>
              <w:jc w:val="center"/>
              <w:rPr>
                <w:rFonts w:hint="default" w:ascii="Times New Roman" w:hAnsi="Times New Roman" w:eastAsia="仿宋_GB2312" w:cs="Times New Roman"/>
                <w:sz w:val="24"/>
              </w:rPr>
            </w:pPr>
            <w:r>
              <w:rPr>
                <w:rFonts w:hint="eastAsia"/>
              </w:rPr>
              <w:t>人工智能辅助冠状动脉功能评价关键技术及推广应用</w:t>
            </w:r>
          </w:p>
        </w:tc>
      </w:tr>
      <w:tr w14:paraId="72C2F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2758" w:type="dxa"/>
            <w:noWrap w:val="0"/>
            <w:vAlign w:val="center"/>
          </w:tcPr>
          <w:p w14:paraId="7EE29E8B">
            <w:pPr>
              <w:jc w:val="center"/>
              <w:rPr>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推荐单位或推荐专家</w:t>
            </w:r>
          </w:p>
        </w:tc>
        <w:tc>
          <w:tcPr>
            <w:tcW w:w="5601" w:type="dxa"/>
            <w:noWrap w:val="0"/>
            <w:vAlign w:val="center"/>
          </w:tcPr>
          <w:p w14:paraId="031F2853">
            <w:pPr>
              <w:spacing w:line="440" w:lineRule="exact"/>
              <w:jc w:val="center"/>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浙江医院</w:t>
            </w:r>
          </w:p>
        </w:tc>
      </w:tr>
      <w:tr w14:paraId="079D6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0" w:hRule="atLeast"/>
        </w:trPr>
        <w:tc>
          <w:tcPr>
            <w:tcW w:w="2758" w:type="dxa"/>
            <w:noWrap w:val="0"/>
            <w:vAlign w:val="center"/>
          </w:tcPr>
          <w:p w14:paraId="3719B4E6">
            <w:pPr>
              <w:spacing w:line="440" w:lineRule="exact"/>
              <w:jc w:val="center"/>
              <w:rPr>
                <w:rFonts w:hint="default" w:ascii="Times New Roman" w:hAnsi="Times New Roman" w:eastAsia="仿宋_GB2312" w:cs="Times New Roman"/>
                <w:bCs/>
                <w:sz w:val="28"/>
                <w:lang w:val="en-US" w:eastAsia="zh-CN"/>
              </w:rPr>
            </w:pPr>
            <w:r>
              <w:rPr>
                <w:rStyle w:val="4"/>
                <w:rFonts w:hint="eastAsia" w:ascii="Times New Roman" w:hAnsi="Times New Roman" w:eastAsia="仿宋_GB2312" w:cs="Times New Roman"/>
                <w:color w:val="auto"/>
                <w:sz w:val="28"/>
                <w:lang w:val="en-US" w:eastAsia="zh-CN"/>
              </w:rPr>
              <w:t>项目简介</w:t>
            </w:r>
          </w:p>
        </w:tc>
        <w:tc>
          <w:tcPr>
            <w:tcW w:w="5601" w:type="dxa"/>
            <w:noWrap w:val="0"/>
            <w:vAlign w:val="center"/>
          </w:tcPr>
          <w:p w14:paraId="46C4A64A">
            <w:pPr>
              <w:spacing w:after="0" w:line="276" w:lineRule="auto"/>
              <w:ind w:firstLine="420" w:firstLineChars="200"/>
              <w:jc w:val="both"/>
              <w:rPr>
                <w:rFonts w:hint="eastAsia"/>
              </w:rPr>
            </w:pPr>
            <w:r>
              <w:rPr>
                <w:rFonts w:hint="eastAsia"/>
              </w:rPr>
              <w:t>本项目属于心血管病学、医学影像学与生物医学工程交叉领域，针对冠脉解剖狭窄与功能性缺血不完全一致、有创FFR检查有创且难以普及的重大临床难题，依托课题"基于人工智能和优化算法的无创FFR与有创FFR在稳定性冠心病患者诊断效率的对比研究"（WKJ-ZJ-1913），由浙江医院牵头、联合杭州脉流科技有限公司开展医工协同攻关，系统建立了基于人工智能的冠状动脉功能精准评价</w:t>
            </w:r>
            <w:r>
              <w:rPr>
                <w:rFonts w:hint="eastAsia"/>
                <w:lang w:val="en-US" w:eastAsia="zh-CN"/>
              </w:rPr>
              <w:t>关键</w:t>
            </w:r>
            <w:r>
              <w:rPr>
                <w:rFonts w:hint="eastAsia"/>
              </w:rPr>
              <w:t>技术体系</w:t>
            </w:r>
            <w:r>
              <w:rPr>
                <w:rFonts w:hint="eastAsia"/>
                <w:lang w:eastAsia="zh-CN"/>
              </w:rPr>
              <w:t>，</w:t>
            </w:r>
            <w:r>
              <w:rPr>
                <w:rFonts w:hint="eastAsia"/>
                <w:lang w:val="en-US" w:eastAsia="zh-CN"/>
              </w:rPr>
              <w:t>并在多家省市级医院推广应用</w:t>
            </w:r>
            <w:r>
              <w:rPr>
                <w:rFonts w:hint="eastAsia"/>
              </w:rPr>
              <w:t>。</w:t>
            </w:r>
          </w:p>
          <w:p w14:paraId="4005482D">
            <w:pPr>
              <w:spacing w:after="0" w:line="276" w:lineRule="auto"/>
              <w:ind w:firstLine="420" w:firstLineChars="200"/>
              <w:jc w:val="both"/>
              <w:rPr>
                <w:rFonts w:hint="eastAsia"/>
              </w:rPr>
            </w:pPr>
            <w:r>
              <w:rPr>
                <w:rFonts w:hint="eastAsia"/>
              </w:rPr>
              <w:t>项目取得三项相互衔接的创新性技术突破：</w:t>
            </w:r>
          </w:p>
          <w:p w14:paraId="7E0F3097">
            <w:pPr>
              <w:numPr>
                <w:ilvl w:val="0"/>
                <w:numId w:val="1"/>
              </w:numPr>
              <w:spacing w:after="0" w:line="276" w:lineRule="auto"/>
              <w:ind w:firstLine="420" w:firstLineChars="200"/>
              <w:jc w:val="both"/>
              <w:rPr>
                <w:rFonts w:hint="eastAsia"/>
              </w:rPr>
            </w:pPr>
            <w:r>
              <w:rPr>
                <w:rFonts w:hint="eastAsia"/>
              </w:rPr>
              <w:t>创建"AI辅助冠脉分割—患者特异性三维重建—生理边界条件构建—三维血流动力学计算"一体化CT衍生血流储备分数（CT-FFR）计算流程，创新纳入患者个体化生理参数，将计算时间缩短至5分钟，实现从影像几何到冠脉生理指标的</w:t>
            </w:r>
            <w:r>
              <w:rPr>
                <w:rFonts w:hint="eastAsia"/>
                <w:lang w:val="en-US" w:eastAsia="zh-CN"/>
              </w:rPr>
              <w:t>无创</w:t>
            </w:r>
            <w:r>
              <w:rPr>
                <w:rFonts w:hint="eastAsia"/>
              </w:rPr>
              <w:t>精准定量评价；</w:t>
            </w:r>
          </w:p>
          <w:p w14:paraId="3E414093">
            <w:pPr>
              <w:numPr>
                <w:ilvl w:val="0"/>
                <w:numId w:val="1"/>
              </w:numPr>
              <w:spacing w:after="0" w:line="276" w:lineRule="auto"/>
              <w:ind w:firstLine="420" w:firstLineChars="200"/>
              <w:jc w:val="both"/>
              <w:rPr>
                <w:rFonts w:hint="default" w:ascii="Times New Roman" w:hAnsi="Times New Roman" w:eastAsia="仿宋_GB2312" w:cs="Times New Roman"/>
                <w:bCs/>
                <w:sz w:val="24"/>
              </w:rPr>
            </w:pPr>
            <w:r>
              <w:rPr>
                <w:rFonts w:hint="eastAsia"/>
              </w:rPr>
              <w:t>创新拓展静息条件下CT衍生瞬时无波形比值（CT-iFR）稳态计算方法，并分别以有创iFR和FFR双重对照验证；</w:t>
            </w:r>
          </w:p>
          <w:p w14:paraId="09A73674">
            <w:pPr>
              <w:numPr>
                <w:ilvl w:val="0"/>
                <w:numId w:val="1"/>
              </w:numPr>
              <w:spacing w:after="0" w:line="276" w:lineRule="auto"/>
              <w:ind w:firstLine="420" w:firstLineChars="200"/>
              <w:jc w:val="both"/>
              <w:rPr>
                <w:rFonts w:hint="default"/>
                <w:lang w:val="en-US" w:eastAsia="zh-CN"/>
              </w:rPr>
            </w:pPr>
            <w:r>
              <w:rPr>
                <w:rFonts w:hint="eastAsia"/>
              </w:rPr>
              <w:t>原创性融合IVUS管腔轮廓、造影路径及血流速度信息，融合冠脉结构与功能一体化的 AccuFFRivus 实时分析靶血管三维图像的真实管腔，实现准确、快速的有创冠状动脉功能学缺血程度与解剖学狭窄程度的一站式评估。</w:t>
            </w:r>
          </w:p>
          <w:p w14:paraId="15CCD788">
            <w:pPr>
              <w:numPr>
                <w:ilvl w:val="0"/>
                <w:numId w:val="1"/>
              </w:numPr>
              <w:spacing w:after="0" w:line="276" w:lineRule="auto"/>
              <w:ind w:firstLine="420" w:firstLineChars="200"/>
              <w:jc w:val="both"/>
              <w:rPr>
                <w:rFonts w:hint="eastAsia"/>
                <w:lang w:val="en-US" w:eastAsia="zh-CN"/>
              </w:rPr>
            </w:pPr>
            <w:r>
              <w:rPr>
                <w:rFonts w:hint="default"/>
                <w:lang w:val="en-US" w:eastAsia="zh-CN"/>
              </w:rPr>
              <w:t>通过</w:t>
            </w:r>
            <w:r>
              <w:rPr>
                <w:rFonts w:hint="eastAsia"/>
                <w:lang w:val="en-US" w:eastAsia="zh-CN"/>
              </w:rPr>
              <w:t>回顾性、</w:t>
            </w:r>
            <w:r>
              <w:rPr>
                <w:rFonts w:hint="default"/>
                <w:lang w:val="en-US" w:eastAsia="zh-CN"/>
              </w:rPr>
              <w:t>前瞻性研究的真实临床数据进行验证</w:t>
            </w:r>
            <w:r>
              <w:rPr>
                <w:rFonts w:hint="eastAsia"/>
                <w:lang w:val="en-US" w:eastAsia="zh-CN"/>
              </w:rPr>
              <w:t>基于人工智能的</w:t>
            </w:r>
            <w:r>
              <w:rPr>
                <w:rFonts w:hint="eastAsia"/>
              </w:rPr>
              <w:t>冠状动脉功能精准评价</w:t>
            </w:r>
            <w:r>
              <w:rPr>
                <w:rFonts w:hint="eastAsia"/>
                <w:lang w:val="en-US" w:eastAsia="zh-CN"/>
              </w:rPr>
              <w:t>关键</w:t>
            </w:r>
            <w:r>
              <w:rPr>
                <w:rFonts w:hint="eastAsia"/>
              </w:rPr>
              <w:t>技术</w:t>
            </w:r>
            <w:r>
              <w:rPr>
                <w:rFonts w:hint="default"/>
                <w:lang w:val="en-US" w:eastAsia="zh-CN"/>
              </w:rPr>
              <w:t>AccuFFR</w:t>
            </w:r>
            <w:r>
              <w:rPr>
                <w:rFonts w:hint="eastAsia"/>
                <w:lang w:val="en-US" w:eastAsia="zh-CN"/>
              </w:rPr>
              <w:t>c</w:t>
            </w:r>
            <w:r>
              <w:rPr>
                <w:rFonts w:hint="default"/>
                <w:lang w:val="en-US" w:eastAsia="zh-CN"/>
              </w:rPr>
              <w:t>t</w:t>
            </w:r>
            <w:r>
              <w:rPr>
                <w:rFonts w:hint="eastAsia"/>
                <w:lang w:val="en-US" w:eastAsia="zh-CN"/>
              </w:rPr>
              <w:t>、</w:t>
            </w:r>
            <w:r>
              <w:rPr>
                <w:rFonts w:hint="default"/>
                <w:lang w:val="en-US" w:eastAsia="zh-CN"/>
              </w:rPr>
              <w:t xml:space="preserve">AccuFFRivus </w:t>
            </w:r>
            <w:r>
              <w:rPr>
                <w:rFonts w:hint="eastAsia"/>
                <w:lang w:val="en-US" w:eastAsia="zh-CN"/>
              </w:rPr>
              <w:t>、</w:t>
            </w:r>
            <w:r>
              <w:rPr>
                <w:rFonts w:hint="default"/>
                <w:lang w:val="en-US" w:eastAsia="zh-CN"/>
              </w:rPr>
              <w:t xml:space="preserve"> </w:t>
            </w:r>
            <w:r>
              <w:rPr>
                <w:rFonts w:hint="eastAsia"/>
                <w:lang w:val="en-US" w:eastAsia="zh-CN"/>
              </w:rPr>
              <w:t>AccuFFRangio等</w:t>
            </w:r>
            <w:r>
              <w:rPr>
                <w:rFonts w:hint="default"/>
                <w:lang w:val="en-US" w:eastAsia="zh-CN"/>
              </w:rPr>
              <w:t>与有创 FFR 具有很强的相关性和良好的一致性，在检测心肌缺血方面具有良好的诊断准确性, 为冠状动脉功能提供新的评估手段。</w:t>
            </w:r>
          </w:p>
          <w:p w14:paraId="10E25497">
            <w:pPr>
              <w:numPr>
                <w:ilvl w:val="0"/>
                <w:numId w:val="1"/>
              </w:numPr>
              <w:spacing w:after="0" w:line="276" w:lineRule="auto"/>
              <w:ind w:firstLine="420" w:firstLineChars="200"/>
              <w:jc w:val="both"/>
              <w:rPr>
                <w:rFonts w:hint="default"/>
                <w:lang w:val="en-US" w:eastAsia="zh-CN"/>
              </w:rPr>
            </w:pPr>
            <w:r>
              <w:rPr>
                <w:rFonts w:hint="eastAsia"/>
              </w:rPr>
              <w:t>项目完成发明专利及软件著作权8项，发表系列学术论文。核心成果"冠脉血流分数（AccuFFRct）计算软件"获2019年度以色列国际心血管创新大会（ICI 2019）最佳创新奖、2020年度浙江省第三届卫生健康科技成果转化金奖，2021年取得NMPA三类医疗器械注册证（浙械注准20212210166），实现临床转化与产业化应用；成果已在省内多家医院推广应用，2024年7月通过浙江省卫生健康委组织的会议验收（浙卫科验字〔2024〕0828号）。成果为冠脉结构与功能一体化精准评价提供了自主可控的"产—学—研—用"技术范式，</w:t>
            </w:r>
            <w:r>
              <w:rPr>
                <w:rFonts w:hint="eastAsia"/>
                <w:lang w:val="en-US" w:eastAsia="zh-CN"/>
              </w:rPr>
              <w:t>目前已在省内5家省市级医院推广应用6千余人次。完成发明专利及软件著作权8项，发表本项目相关高质量学术论文包括</w:t>
            </w:r>
            <w:r>
              <w:rPr>
                <w:rFonts w:hint="eastAsia" w:ascii="Times New Roman" w:hAnsi="Times New Roman" w:cs="Times New Roman"/>
                <w:i w:val="0"/>
                <w:caps w:val="0"/>
                <w:color w:val="212121"/>
                <w:spacing w:val="0"/>
                <w:sz w:val="24"/>
                <w:szCs w:val="24"/>
                <w:shd w:val="clear" w:color="auto" w:fill="FFFFFF"/>
                <w:lang w:val="en-US" w:eastAsia="zh-CN"/>
              </w:rPr>
              <w:t>JACC Cardiovasc Interv、J Am Heart Assoc、Comput Methods Programs Biomed等</w:t>
            </w:r>
            <w:r>
              <w:rPr>
                <w:rFonts w:hint="eastAsia"/>
                <w:lang w:val="en-US" w:eastAsia="zh-CN"/>
              </w:rPr>
              <w:t>10余篇SCI论文。</w:t>
            </w:r>
            <w:bookmarkStart w:id="0" w:name="_GoBack"/>
            <w:bookmarkEnd w:id="0"/>
          </w:p>
          <w:p w14:paraId="3022D6C3">
            <w:pPr>
              <w:numPr>
                <w:ilvl w:val="0"/>
                <w:numId w:val="1"/>
              </w:numPr>
              <w:spacing w:after="0" w:line="276" w:lineRule="auto"/>
              <w:ind w:firstLine="420" w:firstLineChars="200"/>
              <w:jc w:val="both"/>
              <w:rPr>
                <w:rFonts w:hint="default" w:ascii="Times New Roman" w:hAnsi="Times New Roman" w:eastAsia="仿宋_GB2312" w:cs="Times New Roman"/>
                <w:bCs/>
                <w:sz w:val="24"/>
              </w:rPr>
            </w:pPr>
            <w:r>
              <w:rPr>
                <w:rFonts w:hint="eastAsia"/>
              </w:rPr>
              <w:t>对提升我国冠心病精准诊疗水平、减少不必要的有创检查、节约医保资金具有重要的科学价值与广阔的临床应用前景。</w:t>
            </w:r>
          </w:p>
        </w:tc>
      </w:tr>
      <w:tr w14:paraId="5BAF6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5" w:hRule="atLeast"/>
        </w:trPr>
        <w:tc>
          <w:tcPr>
            <w:tcW w:w="2758" w:type="dxa"/>
            <w:noWrap w:val="0"/>
            <w:vAlign w:val="center"/>
          </w:tcPr>
          <w:p w14:paraId="12F78055">
            <w:pPr>
              <w:spacing w:line="440" w:lineRule="exact"/>
              <w:jc w:val="center"/>
              <w:rPr>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完成人员情况</w:t>
            </w:r>
          </w:p>
        </w:tc>
        <w:tc>
          <w:tcPr>
            <w:tcW w:w="5601" w:type="dxa"/>
            <w:noWrap w:val="0"/>
            <w:vAlign w:val="center"/>
          </w:tcPr>
          <w:p w14:paraId="4AFEDAEB">
            <w:pPr>
              <w:spacing w:after="0" w:line="276" w:lineRule="auto"/>
              <w:jc w:val="both"/>
              <w:rPr>
                <w:rFonts w:hint="default" w:ascii="Times New Roman" w:hAnsi="Times New Roman" w:eastAsia="仿宋_GB2312" w:cs="Times New Roman"/>
                <w:bCs/>
                <w:sz w:val="24"/>
              </w:rPr>
            </w:pPr>
            <w:r>
              <w:t>1.杜常青，主任医师，浙江医院；</w:t>
            </w:r>
            <w:r>
              <w:br w:type="textWrapping"/>
            </w:r>
            <w:r>
              <w:t>2.张建军，主任医师，浙江医院；</w:t>
            </w:r>
            <w:r>
              <w:br w:type="textWrapping"/>
            </w:r>
            <w:r>
              <w:t>3.向建平，正高级工程师，杭州脉流科技有限公司；</w:t>
            </w:r>
            <w:r>
              <w:br w:type="textWrapping"/>
            </w:r>
            <w:r>
              <w:t>4.唐礼江，主任医师，浙江医院；</w:t>
            </w:r>
            <w:r>
              <w:br w:type="textWrapping"/>
            </w:r>
            <w:r>
              <w:t>5.叶晨，主管技师，浙江医院；</w:t>
            </w:r>
            <w:r>
              <w:br w:type="textWrapping"/>
            </w:r>
            <w:r>
              <w:t>6.刘小伟，副主任医师，浙江医院；</w:t>
            </w:r>
            <w:r>
              <w:br w:type="textWrapping"/>
            </w:r>
            <w:r>
              <w:t>7.翁莹政，主治医师，浙江医院。</w:t>
            </w:r>
          </w:p>
        </w:tc>
      </w:tr>
      <w:tr w14:paraId="0A85B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96" w:hRule="atLeast"/>
        </w:trPr>
        <w:tc>
          <w:tcPr>
            <w:tcW w:w="2758" w:type="dxa"/>
            <w:noWrap w:val="0"/>
            <w:vAlign w:val="center"/>
          </w:tcPr>
          <w:p w14:paraId="5A3DBF84">
            <w:pPr>
              <w:spacing w:line="440" w:lineRule="exact"/>
              <w:jc w:val="center"/>
              <w:rPr>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完成单位情况</w:t>
            </w:r>
          </w:p>
        </w:tc>
        <w:tc>
          <w:tcPr>
            <w:tcW w:w="5601" w:type="dxa"/>
            <w:noWrap w:val="0"/>
            <w:vAlign w:val="center"/>
          </w:tcPr>
          <w:p w14:paraId="48F040C8">
            <w:pPr>
              <w:spacing w:after="0" w:line="276" w:lineRule="auto"/>
              <w:jc w:val="both"/>
              <w:rPr>
                <w:rFonts w:hint="default" w:ascii="Times New Roman" w:hAnsi="Times New Roman" w:eastAsia="仿宋_GB2312" w:cs="Times New Roman"/>
                <w:bCs/>
                <w:sz w:val="24"/>
              </w:rPr>
            </w:pPr>
            <w:r>
              <w:t>浙江医院；杭州脉流科技有限公司</w:t>
            </w:r>
          </w:p>
        </w:tc>
      </w:tr>
      <w:tr w14:paraId="18FF0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1" w:hRule="atLeast"/>
        </w:trPr>
        <w:tc>
          <w:tcPr>
            <w:tcW w:w="2758" w:type="dxa"/>
            <w:noWrap w:val="0"/>
            <w:vAlign w:val="center"/>
          </w:tcPr>
          <w:p w14:paraId="0F715B9B">
            <w:pPr>
              <w:spacing w:line="440" w:lineRule="exact"/>
              <w:jc w:val="center"/>
              <w:rPr>
                <w:rFonts w:hint="eastAsia" w:ascii="Times New Roman" w:hAnsi="Times New Roman" w:eastAsia="仿宋_GB2312" w:cs="Times New Roman"/>
                <w:color w:val="auto"/>
                <w:sz w:val="28"/>
                <w:lang w:val="en-US" w:eastAsia="zh-CN"/>
              </w:rPr>
            </w:pPr>
            <w:r>
              <w:rPr>
                <w:rStyle w:val="4"/>
                <w:rFonts w:hint="eastAsia" w:ascii="Times New Roman" w:hAnsi="Times New Roman" w:eastAsia="仿宋_GB2312" w:cs="Times New Roman"/>
                <w:color w:val="auto"/>
                <w:sz w:val="28"/>
                <w:lang w:val="en-US" w:eastAsia="zh-CN"/>
              </w:rPr>
              <w:t>推荐意见</w:t>
            </w:r>
          </w:p>
        </w:tc>
        <w:tc>
          <w:tcPr>
            <w:tcW w:w="5601" w:type="dxa"/>
            <w:noWrap w:val="0"/>
            <w:vAlign w:val="center"/>
          </w:tcPr>
          <w:p w14:paraId="6D5AA11A">
            <w:pPr>
              <w:spacing w:after="0" w:line="276" w:lineRule="auto"/>
              <w:jc w:val="both"/>
              <w:rPr>
                <w:rFonts w:hint="default" w:ascii="Times New Roman" w:hAnsi="Times New Roman" w:eastAsia="仿宋_GB2312" w:cs="Times New Roman"/>
                <w:bCs/>
                <w:sz w:val="24"/>
              </w:rPr>
            </w:pPr>
            <w:r>
              <w:rPr>
                <w:rFonts w:hint="eastAsia"/>
              </w:rPr>
              <w:t>本项目紧扣冠脉解剖狭窄与功能性缺血不完全一致这一心血管领域亟待解决的重大临床问题，由浙江医院牵头开展医工协同创新，系统构建了基于人工智能的冠状动脉及心脏结构与功能一体化精准评价技术体系</w:t>
            </w:r>
            <w:r>
              <w:rPr>
                <w:rFonts w:hint="eastAsia"/>
                <w:lang w:eastAsia="zh-CN"/>
              </w:rPr>
              <w:t>，</w:t>
            </w:r>
            <w:r>
              <w:rPr>
                <w:rFonts w:hint="eastAsia"/>
                <w:lang w:val="en-US" w:eastAsia="zh-CN"/>
              </w:rPr>
              <w:t>包括</w:t>
            </w:r>
            <w:r>
              <w:rPr>
                <w:rFonts w:hint="eastAsia"/>
              </w:rPr>
              <w:t>AccuFFR</w:t>
            </w:r>
            <w:r>
              <w:rPr>
                <w:rFonts w:hint="eastAsia"/>
                <w:lang w:val="en-US" w:eastAsia="zh-CN"/>
              </w:rPr>
              <w:t>ct</w:t>
            </w:r>
            <w:r>
              <w:rPr>
                <w:rFonts w:hint="eastAsia"/>
              </w:rPr>
              <w:t>、AccuiFR</w:t>
            </w:r>
            <w:r>
              <w:rPr>
                <w:rFonts w:hint="eastAsia"/>
                <w:lang w:val="en-US" w:eastAsia="zh-CN"/>
              </w:rPr>
              <w:t>ct</w:t>
            </w:r>
            <w:r>
              <w:rPr>
                <w:rFonts w:hint="eastAsia"/>
                <w:lang w:eastAsia="zh-CN"/>
              </w:rPr>
              <w:t>、</w:t>
            </w:r>
            <w:r>
              <w:rPr>
                <w:rFonts w:hint="eastAsia"/>
              </w:rPr>
              <w:t>融合冠脉结构与功能一体化的AccuFFRivus</w:t>
            </w:r>
            <w:r>
              <w:rPr>
                <w:rFonts w:hint="eastAsia"/>
                <w:lang w:val="en-US" w:eastAsia="zh-CN"/>
              </w:rPr>
              <w:t>以及</w:t>
            </w:r>
            <w:r>
              <w:rPr>
                <w:rFonts w:hint="eastAsia"/>
              </w:rPr>
              <w:t>基于冠脉CT影像的心脏功能学</w:t>
            </w:r>
            <w:r>
              <w:rPr>
                <w:rFonts w:hint="eastAsia"/>
                <w:lang w:val="en-US" w:eastAsia="zh-CN"/>
              </w:rPr>
              <w:t>评估软件</w:t>
            </w:r>
            <w:r>
              <w:rPr>
                <w:rFonts w:hint="eastAsia"/>
                <w:b/>
                <w:bCs/>
              </w:rPr>
              <w:t>AccuLV</w:t>
            </w:r>
            <w:r>
              <w:rPr>
                <w:rFonts w:hint="eastAsia"/>
              </w:rPr>
              <w:t>。创建一体化CT-FFR计算流程，拓展静息CT-iFR稳态计算方法，建立IVUS形态-功能转化评价指标，并以有创FFR/iFR为参照完成严格的诊断学对照验证。</w:t>
            </w:r>
            <w:r>
              <w:rPr>
                <w:rFonts w:hint="eastAsia"/>
                <w:lang w:val="en-US" w:eastAsia="zh-CN"/>
              </w:rPr>
              <w:t>回顾性及前瞻性研究</w:t>
            </w:r>
            <w:r>
              <w:rPr>
                <w:rFonts w:hint="eastAsia"/>
              </w:rPr>
              <w:t>充分证实了功能学评价的增量价值；造影功能分析及左室定量研究形成互补证据链。项目成果转化成效显著：核心成果AccuFFRct计算软件获以色列国际心血管创新大会（ICI 2019）最佳创新奖及浙江省卫生健康科技成果转化金奖，取得NMPA三类医疗器械注册证（浙械注准20212210166），完成发明专利及软件著作权8项，已在省内多家医院推广应用，依托课题通过浙江省卫生健康委组织的会议验收。项目选题精准、设计严谨、证据扎实，创新点突出，体现了临床需求与影像建模、人工智能及血流动力学计算的深度融合，整体技术达到国内领先水平，实现了从</w:t>
            </w:r>
            <w:r>
              <w:rPr>
                <w:rFonts w:hint="eastAsia"/>
                <w:lang w:val="en-US" w:eastAsia="zh-CN"/>
              </w:rPr>
              <w:t>临床</w:t>
            </w:r>
            <w:r>
              <w:rPr>
                <w:rFonts w:hint="eastAsia"/>
              </w:rPr>
              <w:t>研究、技术攻关到产业转化的全链条贯通，对推动冠心病功能学精准诊疗具有重要的示范作用和广阔的推广应用前景。一致同意推荐申报2026年度浙江医学科技奖医学科学技术奖</w:t>
            </w:r>
            <w:r>
              <w:rPr>
                <w:rFonts w:hint="eastAsia"/>
                <w:lang w:val="en-US" w:eastAsia="zh-CN"/>
              </w:rPr>
              <w:t>一</w:t>
            </w:r>
            <w:r>
              <w:rPr>
                <w:rFonts w:hint="eastAsia"/>
              </w:rPr>
              <w:t>等奖。</w:t>
            </w:r>
          </w:p>
        </w:tc>
      </w:tr>
    </w:tbl>
    <w:p w14:paraId="5FDDD9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8297CA6-5CA8-4FDF-B451-AC6CAA26ABA9}"/>
  </w:font>
  <w:font w:name="方正小标宋简体">
    <w:altName w:val="方正舒体"/>
    <w:panose1 w:val="02000000000000000000"/>
    <w:charset w:val="86"/>
    <w:family w:val="script"/>
    <w:pitch w:val="default"/>
    <w:sig w:usb0="00000000" w:usb1="00000000" w:usb2="00000000" w:usb3="00000000" w:csb0="00040000" w:csb1="00000000"/>
    <w:embedRegular r:id="rId2" w:fontKey="{B1B38C98-752C-40F2-AECC-8C067A2ADCEF}"/>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3" w:fontKey="{88A7D746-E24F-4D4A-BE49-16E6ADE9E1D2}"/>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991EE6"/>
    <w:multiLevelType w:val="singleLevel"/>
    <w:tmpl w:val="69991EE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3141D"/>
    <w:rsid w:val="11424398"/>
    <w:rsid w:val="13E57E77"/>
    <w:rsid w:val="17FF4F97"/>
    <w:rsid w:val="1A693D73"/>
    <w:rsid w:val="20085EE1"/>
    <w:rsid w:val="2AAA156A"/>
    <w:rsid w:val="2CF71426"/>
    <w:rsid w:val="33FF4DDC"/>
    <w:rsid w:val="376C0412"/>
    <w:rsid w:val="403F503F"/>
    <w:rsid w:val="48FC3477"/>
    <w:rsid w:val="4F84044F"/>
    <w:rsid w:val="52701068"/>
    <w:rsid w:val="52CA00CE"/>
    <w:rsid w:val="58FF468A"/>
    <w:rsid w:val="608B4A41"/>
    <w:rsid w:val="662E6458"/>
    <w:rsid w:val="6DEE1E17"/>
    <w:rsid w:val="70B87B0E"/>
    <w:rsid w:val="70D71D1E"/>
    <w:rsid w:val="7F5276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title1"/>
    <w:qFormat/>
    <w:uiPriority w:val="0"/>
    <w:rPr>
      <w:b/>
      <w:bCs/>
      <w:color w:val="9999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1612</Words>
  <Characters>1822</Characters>
  <TotalTime>0</TotalTime>
  <ScaleCrop>false</ScaleCrop>
  <LinksUpToDate>false</LinksUpToDate>
  <CharactersWithSpaces>1831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2026-10-20T14:57:00Z</dcterms:created>
  <dc:creator>ducq</dc:creator>
  <cp:lastModifiedBy>ducq</cp:lastModifiedBy>
  <dcterms:modified xsi:type="dcterms:W3CDTF">2026-10-20T15:15:06Z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eyJoZGlkIjoiMzBlY2ZmOGY5MGRkYzAwYWVjZDUwZGIxZTIzMTAwMDAiLCJ1c2VySWQiOiIxNjAwNzkxNzA0In0=</vt:lpwstr>
  </property>
  <property fmtid="{D5CDD505-2E9C-101B-9397-08002B2CF9AE}" pid="3" name="KSOProductBuildVer">
    <vt:lpwstr>2052-12.1.0.28505</vt:lpwstr>
  </property>
  <property fmtid="{D5CDD505-2E9C-101B-9397-08002B2CF9AE}" pid="4" name="ICV">
    <vt:lpwstr>7452E476231E48249B1C85FA3F845606_12</vt:lpwstr>
  </property>
</Properties>
</file>