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488ED">
      <w:pPr>
        <w:widowControl/>
        <w:spacing w:after="0" w:line="240" w:lineRule="auto"/>
        <w:jc w:val="center"/>
        <w:rPr>
          <w:rStyle w:val="4"/>
          <w:rFonts w:hint="default" w:ascii="Times New Roman" w:hAnsi="Times New Roman" w:eastAsia="方正小标宋简体" w:cs="Times New Roman"/>
          <w:b w:val="0"/>
          <w:bCs w:val="0"/>
          <w:color w:val="auto"/>
          <w:sz w:val="36"/>
          <w:szCs w:val="36"/>
        </w:rPr>
      </w:pPr>
      <w:r>
        <w:rPr>
          <w:rStyle w:val="4"/>
          <w:rFonts w:hint="default" w:ascii="Times New Roman" w:hAnsi="Times New Roman" w:eastAsia="方正小标宋简体" w:cs="Times New Roman"/>
          <w:b w:val="0"/>
          <w:bCs w:val="0"/>
          <w:color w:val="auto"/>
          <w:sz w:val="36"/>
          <w:szCs w:val="36"/>
        </w:rPr>
        <w:t>浙江</w:t>
      </w:r>
      <w:r>
        <w:rPr>
          <w:rStyle w:val="4"/>
          <w:rFonts w:hint="eastAsia" w:ascii="Times New Roman" w:hAnsi="Times New Roman" w:eastAsia="方正小标宋简体" w:cs="Times New Roman"/>
          <w:b w:val="0"/>
          <w:bCs w:val="0"/>
          <w:color w:val="auto"/>
          <w:sz w:val="36"/>
          <w:szCs w:val="36"/>
          <w:lang w:val="en-US" w:eastAsia="zh-CN"/>
        </w:rPr>
        <w:t>医学科技</w:t>
      </w:r>
      <w:r>
        <w:rPr>
          <w:rStyle w:val="4"/>
          <w:rFonts w:hint="default" w:ascii="Times New Roman" w:hAnsi="Times New Roman" w:eastAsia="方正小标宋简体" w:cs="Times New Roman"/>
          <w:b w:val="0"/>
          <w:bCs w:val="0"/>
          <w:color w:val="auto"/>
          <w:sz w:val="36"/>
          <w:szCs w:val="36"/>
        </w:rPr>
        <w:t>奖公示信息表</w:t>
      </w:r>
    </w:p>
    <w:p w14:paraId="6AED731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color w:val="C00000"/>
          <w:sz w:val="21"/>
          <w:szCs w:val="21"/>
          <w:lang w:val="en-US" w:eastAsia="zh-CN"/>
        </w:rPr>
      </w:pPr>
    </w:p>
    <w:tbl>
      <w:tblPr>
        <w:tblStyle w:val="2"/>
        <w:tblW w:w="8359"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58"/>
        <w:gridCol w:w="5601"/>
      </w:tblGrid>
      <w:tr w14:paraId="3B242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2758" w:type="dxa"/>
            <w:noWrap w:val="0"/>
            <w:vAlign w:val="center"/>
          </w:tcPr>
          <w:p w14:paraId="56086A58">
            <w:pPr>
              <w:jc w:val="center"/>
              <w:rPr>
                <w:rStyle w:val="4"/>
                <w:rFonts w:hint="default" w:ascii="Times New Roman" w:hAnsi="Times New Roman" w:eastAsia="仿宋_GB2312" w:cs="Times New Roman"/>
                <w:b w:val="0"/>
                <w:color w:val="auto"/>
                <w:sz w:val="28"/>
                <w:lang w:val="en-US" w:eastAsia="zh-CN"/>
              </w:rPr>
            </w:pPr>
            <w:r>
              <w:rPr>
                <w:rStyle w:val="4"/>
                <w:rFonts w:hint="eastAsia" w:ascii="Times New Roman" w:hAnsi="Times New Roman" w:eastAsia="仿宋_GB2312" w:cs="Times New Roman"/>
                <w:color w:val="auto"/>
                <w:sz w:val="28"/>
                <w:lang w:val="en-US" w:eastAsia="zh-CN"/>
              </w:rPr>
              <w:t>推荐奖种</w:t>
            </w:r>
          </w:p>
        </w:tc>
        <w:tc>
          <w:tcPr>
            <w:tcW w:w="5601" w:type="dxa"/>
            <w:noWrap w:val="0"/>
            <w:vAlign w:val="center"/>
          </w:tcPr>
          <w:p w14:paraId="6DB6434D">
            <w:pPr>
              <w:spacing w:line="440" w:lineRule="exact"/>
              <w:jc w:val="center"/>
              <w:rPr>
                <w:rFonts w:hint="default" w:ascii="Times New Roman" w:hAnsi="Times New Roman" w:eastAsia="仿宋_GB2312" w:cs="Times New Roman"/>
                <w:bCs/>
                <w:sz w:val="24"/>
              </w:rPr>
            </w:pPr>
            <w:r>
              <w:rPr>
                <w:rFonts w:hint="eastAsia" w:ascii="Times New Roman" w:hAnsi="Times New Roman" w:eastAsia="仿宋_GB2312" w:cs="Times New Roman"/>
                <w:sz w:val="24"/>
              </w:rPr>
              <w:t>青年科学技术奖</w:t>
            </w:r>
          </w:p>
        </w:tc>
      </w:tr>
      <w:tr w14:paraId="77ADC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2758" w:type="dxa"/>
            <w:noWrap w:val="0"/>
            <w:vAlign w:val="center"/>
          </w:tcPr>
          <w:p w14:paraId="13FCA494">
            <w:pPr>
              <w:jc w:val="center"/>
              <w:rPr>
                <w:rStyle w:val="4"/>
                <w:rFonts w:hint="default" w:ascii="Times New Roman" w:hAnsi="Times New Roman" w:eastAsia="仿宋_GB2312" w:cs="Times New Roman"/>
                <w:b w:val="0"/>
                <w:color w:val="auto"/>
                <w:sz w:val="28"/>
                <w:lang w:val="en-US" w:eastAsia="zh-CN"/>
              </w:rPr>
            </w:pPr>
            <w:r>
              <w:rPr>
                <w:rStyle w:val="4"/>
                <w:rFonts w:hint="eastAsia" w:ascii="Times New Roman" w:hAnsi="Times New Roman" w:eastAsia="仿宋_GB2312" w:cs="Times New Roman"/>
                <w:color w:val="auto"/>
                <w:sz w:val="28"/>
                <w:lang w:val="en-US" w:eastAsia="zh-CN"/>
              </w:rPr>
              <w:t>项目名称</w:t>
            </w:r>
          </w:p>
        </w:tc>
        <w:tc>
          <w:tcPr>
            <w:tcW w:w="5601" w:type="dxa"/>
            <w:noWrap w:val="0"/>
            <w:vAlign w:val="center"/>
          </w:tcPr>
          <w:p w14:paraId="6E2BD30B">
            <w:pPr>
              <w:spacing w:line="440" w:lineRule="exact"/>
              <w:jc w:val="center"/>
              <w:rPr>
                <w:rFonts w:hint="default" w:ascii="Times New Roman" w:hAnsi="Times New Roman" w:eastAsia="仿宋_GB2312" w:cs="Times New Roman"/>
                <w:sz w:val="24"/>
              </w:rPr>
            </w:pPr>
            <w:r>
              <w:rPr>
                <w:rFonts w:hint="eastAsia" w:ascii="Times New Roman" w:hAnsi="Times New Roman" w:eastAsia="仿宋_GB2312" w:cs="Times New Roman"/>
                <w:sz w:val="24"/>
              </w:rPr>
              <w:t>老年认知障碍影像遗传机制与智能识别的关键技术</w:t>
            </w:r>
          </w:p>
        </w:tc>
      </w:tr>
      <w:tr w14:paraId="10A19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2758" w:type="dxa"/>
            <w:noWrap w:val="0"/>
            <w:vAlign w:val="center"/>
          </w:tcPr>
          <w:p w14:paraId="7EE29E8B">
            <w:pPr>
              <w:jc w:val="center"/>
              <w:rPr>
                <w:rStyle w:val="4"/>
                <w:rFonts w:hint="eastAsia" w:ascii="Times New Roman" w:hAnsi="Times New Roman" w:eastAsia="仿宋_GB2312" w:cs="Times New Roman"/>
                <w:color w:val="auto"/>
                <w:sz w:val="28"/>
                <w:lang w:val="en-US" w:eastAsia="zh-CN"/>
              </w:rPr>
            </w:pPr>
            <w:r>
              <w:rPr>
                <w:rStyle w:val="4"/>
                <w:rFonts w:hint="eastAsia" w:ascii="Times New Roman" w:hAnsi="Times New Roman" w:eastAsia="仿宋_GB2312" w:cs="Times New Roman"/>
                <w:color w:val="auto"/>
                <w:sz w:val="28"/>
                <w:lang w:val="en-US" w:eastAsia="zh-CN"/>
              </w:rPr>
              <w:t>推荐单位或推荐专家</w:t>
            </w:r>
          </w:p>
        </w:tc>
        <w:tc>
          <w:tcPr>
            <w:tcW w:w="5601" w:type="dxa"/>
            <w:noWrap w:val="0"/>
            <w:vAlign w:val="center"/>
          </w:tcPr>
          <w:p w14:paraId="031F2853">
            <w:pPr>
              <w:spacing w:line="440" w:lineRule="exact"/>
              <w:jc w:val="center"/>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浙江医院</w:t>
            </w:r>
          </w:p>
        </w:tc>
      </w:tr>
      <w:tr w14:paraId="7C2F1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0" w:hRule="atLeast"/>
        </w:trPr>
        <w:tc>
          <w:tcPr>
            <w:tcW w:w="2758" w:type="dxa"/>
            <w:noWrap w:val="0"/>
            <w:vAlign w:val="center"/>
          </w:tcPr>
          <w:p w14:paraId="3719B4E6">
            <w:pPr>
              <w:spacing w:line="440" w:lineRule="exact"/>
              <w:jc w:val="center"/>
              <w:rPr>
                <w:rFonts w:hint="default" w:ascii="Times New Roman" w:hAnsi="Times New Roman" w:eastAsia="仿宋_GB2312" w:cs="Times New Roman"/>
                <w:bCs/>
                <w:sz w:val="28"/>
                <w:lang w:val="en-US" w:eastAsia="zh-CN"/>
              </w:rPr>
            </w:pPr>
            <w:r>
              <w:rPr>
                <w:rStyle w:val="4"/>
                <w:rFonts w:hint="eastAsia" w:ascii="Times New Roman" w:hAnsi="Times New Roman" w:eastAsia="仿宋_GB2312" w:cs="Times New Roman"/>
                <w:color w:val="auto"/>
                <w:sz w:val="28"/>
                <w:lang w:val="en-US" w:eastAsia="zh-CN"/>
              </w:rPr>
              <w:t>项目简介</w:t>
            </w:r>
          </w:p>
        </w:tc>
        <w:tc>
          <w:tcPr>
            <w:tcW w:w="5601" w:type="dxa"/>
            <w:noWrap w:val="0"/>
            <w:vAlign w:val="center"/>
          </w:tcPr>
          <w:p w14:paraId="3022D6C3">
            <w:pPr>
              <w:spacing w:after="0" w:line="276" w:lineRule="auto"/>
              <w:jc w:val="both"/>
              <w:rPr>
                <w:rFonts w:hint="default" w:ascii="Times New Roman" w:hAnsi="Times New Roman" w:eastAsia="仿宋_GB2312" w:cs="Times New Roman"/>
                <w:bCs/>
                <w:sz w:val="24"/>
              </w:rPr>
            </w:pPr>
            <w:r>
              <w:rPr>
                <w:rFonts w:hint="eastAsia" w:ascii="Times New Roman" w:hAnsi="Times New Roman" w:eastAsia="仿宋_GB2312" w:cs="Times New Roman"/>
                <w:sz w:val="24"/>
              </w:rPr>
              <w:t>本项目属于神经病学与医学影像学交叉领域的应用基础研究。项目围绕“血管—遗传—影像”交叉视角，采用</w:t>
            </w:r>
            <w:r>
              <w:rPr>
                <w:rFonts w:hint="eastAsia" w:ascii="Times New Roman" w:hAnsi="Times New Roman" w:eastAsia="仿宋_GB2312" w:cs="Times New Roman"/>
                <w:sz w:val="24"/>
                <w:lang w:val="en-US" w:eastAsia="zh-CN"/>
              </w:rPr>
              <w:t>多模态</w:t>
            </w:r>
            <w:r>
              <w:rPr>
                <w:rFonts w:hint="eastAsia" w:ascii="Times New Roman" w:hAnsi="Times New Roman" w:eastAsia="仿宋_GB2312" w:cs="Times New Roman"/>
                <w:sz w:val="24"/>
              </w:rPr>
              <w:t>磁共振、影像遗传学、机器学习与大队列临床研究技术，系统揭示了老年认知障碍脑自发活动改变规律及其调控机制：（1）率先报道IL-1β</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lang w:val="en-US" w:eastAsia="zh-CN"/>
              </w:rPr>
              <w:t>免疫炎症</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rPr>
              <w:t>、TOMM40</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lang w:val="en-US" w:eastAsia="zh-CN"/>
              </w:rPr>
              <w:t>线粒体功能</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rPr>
              <w:t>、PICALM</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lang w:val="en-US" w:eastAsia="zh-CN"/>
              </w:rPr>
              <w:t>内吞路径</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rPr>
              <w:t>等遗传变异通过“基因型×疾病”交互作用调控遗忘型轻度认知障碍（MCI）患者脑自发活动，提出脑活动“代偿升高—失代偿降低”转换的影像遗传学新证据；（2）发现</w:t>
            </w:r>
            <w:r>
              <w:rPr>
                <w:rFonts w:hint="eastAsia" w:ascii="Times New Roman" w:hAnsi="Times New Roman" w:eastAsia="仿宋_GB2312" w:cs="Times New Roman"/>
                <w:sz w:val="24"/>
                <w:lang w:val="en-US" w:eastAsia="zh-CN"/>
              </w:rPr>
              <w:t>高血压等</w:t>
            </w:r>
            <w:r>
              <w:rPr>
                <w:rFonts w:hint="eastAsia" w:ascii="Times New Roman" w:hAnsi="Times New Roman" w:eastAsia="仿宋_GB2312" w:cs="Times New Roman"/>
                <w:sz w:val="24"/>
              </w:rPr>
              <w:t>血管危险因素集聚显著调节MCI患者海马低频振幅、高危患者神经代偿失效，系统阐明高血压促进阿尔茨海默病的病理生理与神经影像机制；（3）揭示脑白质高信号患者“脉络丛增大→类淋巴功能障碍→信息加工速度下降”机制链（中介效应18.2%）；（4）建立基于优化随机森林算法（AUC 0.961、准确率0.894）的痴呆与MCI智能识别模型</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rPr>
              <w:t>并基于多中心独立数据集验证情景记忆相关脑影像标记对阿尔茨海默病的个体化诊断价值（分类准确率&gt;86%）；（5）首次报道我国神经科病房快速进展性痴呆患病率约0.95%，建立病因学诊断与预后评估框架。成果发表于Journal of Neuroinflammati</w:t>
            </w:r>
            <w:r>
              <w:rPr>
                <w:rFonts w:hint="eastAsia" w:ascii="Times New Roman" w:hAnsi="Times New Roman" w:eastAsia="仿宋_GB2312" w:cs="Times New Roman"/>
                <w:sz w:val="24"/>
                <w:lang w:val="en-US" w:eastAsia="zh-CN"/>
              </w:rPr>
              <w:t>on</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rPr>
              <w:t>Journal of Neurology、Neurology、Cerebral Cortex等国际期刊（代表性论文</w:t>
            </w:r>
            <w:r>
              <w:rPr>
                <w:rFonts w:hint="eastAsia" w:ascii="Times New Roman" w:hAnsi="Times New Roman" w:eastAsia="仿宋_GB2312" w:cs="Times New Roman"/>
                <w:sz w:val="24"/>
                <w:lang w:val="en-US" w:eastAsia="zh-CN"/>
              </w:rPr>
              <w:t>10</w:t>
            </w:r>
            <w:r>
              <w:rPr>
                <w:rFonts w:hint="eastAsia" w:ascii="Times New Roman" w:hAnsi="Times New Roman" w:eastAsia="仿宋_GB2312" w:cs="Times New Roman"/>
                <w:sz w:val="24"/>
              </w:rPr>
              <w:t>篇），已在多家单位推广应用，取得显著社会效益。</w:t>
            </w:r>
          </w:p>
        </w:tc>
      </w:tr>
      <w:tr w14:paraId="42A53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5" w:hRule="atLeast"/>
        </w:trPr>
        <w:tc>
          <w:tcPr>
            <w:tcW w:w="2758" w:type="dxa"/>
            <w:noWrap w:val="0"/>
            <w:vAlign w:val="center"/>
          </w:tcPr>
          <w:p w14:paraId="12F78055">
            <w:pPr>
              <w:spacing w:line="440" w:lineRule="exact"/>
              <w:jc w:val="center"/>
              <w:rPr>
                <w:rStyle w:val="4"/>
                <w:rFonts w:hint="eastAsia" w:ascii="Times New Roman" w:hAnsi="Times New Roman" w:eastAsia="仿宋_GB2312" w:cs="Times New Roman"/>
                <w:color w:val="auto"/>
                <w:sz w:val="28"/>
                <w:lang w:val="en-US" w:eastAsia="zh-CN"/>
              </w:rPr>
            </w:pPr>
            <w:r>
              <w:rPr>
                <w:rStyle w:val="4"/>
                <w:rFonts w:hint="eastAsia" w:ascii="Times New Roman" w:hAnsi="Times New Roman" w:eastAsia="仿宋_GB2312" w:cs="Times New Roman"/>
                <w:color w:val="auto"/>
                <w:sz w:val="28"/>
                <w:lang w:val="en-US" w:eastAsia="zh-CN"/>
              </w:rPr>
              <w:t>完成人员情况</w:t>
            </w:r>
          </w:p>
        </w:tc>
        <w:tc>
          <w:tcPr>
            <w:tcW w:w="5601" w:type="dxa"/>
            <w:noWrap w:val="0"/>
            <w:vAlign w:val="center"/>
          </w:tcPr>
          <w:p w14:paraId="4AFEDAEB">
            <w:pPr>
              <w:spacing w:after="0" w:line="276" w:lineRule="auto"/>
              <w:jc w:val="both"/>
              <w:rPr>
                <w:rFonts w:hint="default" w:ascii="Times New Roman" w:hAnsi="Times New Roman" w:eastAsia="仿宋_GB2312" w:cs="Times New Roman"/>
                <w:bCs/>
                <w:sz w:val="24"/>
                <w:lang w:val="en-US" w:eastAsia="zh-CN"/>
              </w:rPr>
            </w:pPr>
            <w:r>
              <w:rPr>
                <w:rFonts w:hint="eastAsia" w:ascii="Times New Roman" w:hAnsi="Times New Roman" w:eastAsia="仿宋_GB2312" w:cs="Times New Roman"/>
                <w:sz w:val="24"/>
              </w:rPr>
              <w:t>第1完成人：庄丽英（浙江医院）；第2完成人：刘晓燕（浙江大学医学院附属第一医院）；第3完成人：王赞（东南大学附属中大医院）；第4完成人：刘小利（浙江医院）；第5完成人：彭国平（浙江大学医学院附属第一医院）；第6完成人：罗本燕（浙江大学医学院附属第一医院）；第7完成人：张志珺（东南大学附属中大医院）</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lang w:val="en-US" w:eastAsia="zh-CN"/>
              </w:rPr>
              <w:t>第8完成人：柏峰（南京大学医学院附属鼓楼医院）</w:t>
            </w:r>
          </w:p>
          <w:p w14:paraId="0CE3C7B3">
            <w:pPr>
              <w:spacing w:after="0" w:line="276" w:lineRule="auto"/>
              <w:jc w:val="both"/>
              <w:rPr>
                <w:rFonts w:hint="default" w:ascii="Times New Roman" w:hAnsi="Times New Roman" w:eastAsia="仿宋_GB2312" w:cs="Times New Roman"/>
                <w:bCs/>
                <w:sz w:val="24"/>
              </w:rPr>
            </w:pPr>
          </w:p>
          <w:p w14:paraId="77597D7F">
            <w:pPr>
              <w:spacing w:after="0" w:line="276" w:lineRule="auto"/>
              <w:jc w:val="both"/>
              <w:rPr>
                <w:rFonts w:hint="default" w:ascii="Times New Roman" w:hAnsi="Times New Roman" w:eastAsia="仿宋_GB2312" w:cs="Times New Roman"/>
                <w:bCs/>
                <w:sz w:val="24"/>
              </w:rPr>
            </w:pPr>
          </w:p>
          <w:p w14:paraId="0097790D">
            <w:pPr>
              <w:spacing w:after="0" w:line="276" w:lineRule="auto"/>
              <w:jc w:val="both"/>
              <w:rPr>
                <w:rFonts w:hint="default" w:ascii="Times New Roman" w:hAnsi="Times New Roman" w:eastAsia="仿宋_GB2312" w:cs="Times New Roman"/>
                <w:bCs/>
                <w:sz w:val="24"/>
              </w:rPr>
            </w:pPr>
          </w:p>
          <w:p w14:paraId="3149F4EA">
            <w:pPr>
              <w:spacing w:after="0" w:line="276" w:lineRule="auto"/>
              <w:jc w:val="both"/>
              <w:rPr>
                <w:rFonts w:hint="default" w:ascii="Times New Roman" w:hAnsi="Times New Roman" w:eastAsia="仿宋_GB2312" w:cs="Times New Roman"/>
                <w:bCs/>
                <w:sz w:val="24"/>
              </w:rPr>
            </w:pPr>
          </w:p>
          <w:p w14:paraId="1D47A279">
            <w:pPr>
              <w:spacing w:after="0" w:line="276" w:lineRule="auto"/>
              <w:jc w:val="both"/>
              <w:rPr>
                <w:rFonts w:hint="default" w:ascii="Times New Roman" w:hAnsi="Times New Roman" w:eastAsia="仿宋_GB2312" w:cs="Times New Roman"/>
                <w:bCs/>
                <w:sz w:val="24"/>
              </w:rPr>
            </w:pPr>
          </w:p>
          <w:p w14:paraId="18CBC3F5">
            <w:pPr>
              <w:spacing w:after="0" w:line="276" w:lineRule="auto"/>
              <w:jc w:val="both"/>
              <w:rPr>
                <w:rFonts w:hint="default" w:ascii="Times New Roman" w:hAnsi="Times New Roman" w:eastAsia="仿宋_GB2312" w:cs="Times New Roman"/>
                <w:bCs/>
                <w:sz w:val="24"/>
              </w:rPr>
            </w:pPr>
          </w:p>
        </w:tc>
      </w:tr>
      <w:tr w14:paraId="3C354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6" w:hRule="atLeast"/>
        </w:trPr>
        <w:tc>
          <w:tcPr>
            <w:tcW w:w="2758" w:type="dxa"/>
            <w:noWrap w:val="0"/>
            <w:vAlign w:val="center"/>
          </w:tcPr>
          <w:p w14:paraId="5A3DBF84">
            <w:pPr>
              <w:spacing w:line="440" w:lineRule="exact"/>
              <w:jc w:val="center"/>
              <w:rPr>
                <w:rStyle w:val="4"/>
                <w:rFonts w:hint="eastAsia" w:ascii="Times New Roman" w:hAnsi="Times New Roman" w:eastAsia="仿宋_GB2312" w:cs="Times New Roman"/>
                <w:color w:val="auto"/>
                <w:sz w:val="28"/>
                <w:lang w:val="en-US" w:eastAsia="zh-CN"/>
              </w:rPr>
            </w:pPr>
            <w:r>
              <w:rPr>
                <w:rStyle w:val="4"/>
                <w:rFonts w:hint="eastAsia" w:ascii="Times New Roman" w:hAnsi="Times New Roman" w:eastAsia="仿宋_GB2312" w:cs="Times New Roman"/>
                <w:color w:val="auto"/>
                <w:sz w:val="28"/>
                <w:lang w:val="en-US" w:eastAsia="zh-CN"/>
              </w:rPr>
              <w:t>完成单位情况</w:t>
            </w:r>
          </w:p>
        </w:tc>
        <w:tc>
          <w:tcPr>
            <w:tcW w:w="5601" w:type="dxa"/>
            <w:noWrap w:val="0"/>
            <w:vAlign w:val="center"/>
          </w:tcPr>
          <w:p w14:paraId="52D9B23E">
            <w:pPr>
              <w:spacing w:after="0" w:line="276" w:lineRule="auto"/>
              <w:jc w:val="both"/>
              <w:rPr>
                <w:rFonts w:hint="default" w:ascii="Times New Roman" w:hAnsi="Times New Roman" w:eastAsia="仿宋_GB2312" w:cs="Times New Roman"/>
                <w:bCs/>
                <w:sz w:val="24"/>
              </w:rPr>
            </w:pPr>
            <w:r>
              <w:rPr>
                <w:rFonts w:hint="eastAsia" w:ascii="Times New Roman" w:hAnsi="Times New Roman" w:eastAsia="仿宋_GB2312" w:cs="Times New Roman"/>
                <w:sz w:val="24"/>
              </w:rPr>
              <w:t>第1完成单位：浙江医院；第2完成单位：浙江大学医学院附属第一医院；第3完成单位：东南大学附属中大医院</w:t>
            </w:r>
          </w:p>
          <w:p w14:paraId="657B9869">
            <w:pPr>
              <w:spacing w:after="0" w:line="276" w:lineRule="auto"/>
              <w:jc w:val="both"/>
              <w:rPr>
                <w:rFonts w:hint="default" w:ascii="Times New Roman" w:hAnsi="Times New Roman" w:eastAsia="仿宋_GB2312" w:cs="Times New Roman"/>
                <w:bCs/>
                <w:sz w:val="24"/>
              </w:rPr>
            </w:pPr>
          </w:p>
          <w:p w14:paraId="12C21D6B">
            <w:pPr>
              <w:spacing w:after="0" w:line="276" w:lineRule="auto"/>
              <w:jc w:val="both"/>
              <w:rPr>
                <w:rFonts w:hint="default" w:ascii="Times New Roman" w:hAnsi="Times New Roman" w:eastAsia="仿宋_GB2312" w:cs="Times New Roman"/>
                <w:bCs/>
                <w:sz w:val="24"/>
              </w:rPr>
            </w:pPr>
          </w:p>
          <w:p w14:paraId="12C1EA6C">
            <w:pPr>
              <w:spacing w:after="0" w:line="276" w:lineRule="auto"/>
              <w:jc w:val="both"/>
              <w:rPr>
                <w:rFonts w:hint="default" w:ascii="Times New Roman" w:hAnsi="Times New Roman" w:eastAsia="仿宋_GB2312" w:cs="Times New Roman"/>
                <w:bCs/>
                <w:sz w:val="24"/>
              </w:rPr>
            </w:pPr>
          </w:p>
          <w:p w14:paraId="7C2EE1D0">
            <w:pPr>
              <w:spacing w:after="0" w:line="276" w:lineRule="auto"/>
              <w:jc w:val="both"/>
              <w:rPr>
                <w:rFonts w:hint="default" w:ascii="Times New Roman" w:hAnsi="Times New Roman" w:eastAsia="仿宋_GB2312" w:cs="Times New Roman"/>
                <w:bCs/>
                <w:sz w:val="24"/>
              </w:rPr>
            </w:pPr>
          </w:p>
        </w:tc>
      </w:tr>
      <w:tr w14:paraId="70C4B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1" w:hRule="atLeast"/>
        </w:trPr>
        <w:tc>
          <w:tcPr>
            <w:tcW w:w="2758" w:type="dxa"/>
            <w:noWrap w:val="0"/>
            <w:vAlign w:val="center"/>
          </w:tcPr>
          <w:p w14:paraId="0F715B9B">
            <w:pPr>
              <w:spacing w:line="440" w:lineRule="exact"/>
              <w:jc w:val="center"/>
              <w:rPr>
                <w:rStyle w:val="4"/>
                <w:rFonts w:hint="eastAsia" w:ascii="Times New Roman" w:hAnsi="Times New Roman" w:eastAsia="仿宋_GB2312" w:cs="Times New Roman"/>
                <w:color w:val="auto"/>
                <w:sz w:val="28"/>
                <w:lang w:val="en-US" w:eastAsia="zh-CN"/>
              </w:rPr>
            </w:pPr>
            <w:r>
              <w:rPr>
                <w:rStyle w:val="4"/>
                <w:rFonts w:hint="eastAsia" w:ascii="Times New Roman" w:hAnsi="Times New Roman" w:eastAsia="仿宋_GB2312" w:cs="Times New Roman"/>
                <w:color w:val="auto"/>
                <w:sz w:val="28"/>
                <w:lang w:val="en-US" w:eastAsia="zh-CN"/>
              </w:rPr>
              <w:t>推荐意见</w:t>
            </w:r>
          </w:p>
        </w:tc>
        <w:tc>
          <w:tcPr>
            <w:tcW w:w="5601" w:type="dxa"/>
            <w:noWrap w:val="0"/>
            <w:vAlign w:val="center"/>
          </w:tcPr>
          <w:p w14:paraId="6D5AA11A">
            <w:pPr>
              <w:spacing w:after="0" w:line="276" w:lineRule="auto"/>
              <w:jc w:val="both"/>
              <w:rPr>
                <w:rFonts w:hint="eastAsia" w:ascii="Times New Roman" w:hAnsi="Times New Roman" w:eastAsia="仿宋_GB2312" w:cs="Times New Roman"/>
                <w:bCs/>
                <w:sz w:val="24"/>
                <w:lang w:val="en-US" w:eastAsia="zh-CN"/>
              </w:rPr>
            </w:pPr>
            <w:r>
              <w:rPr>
                <w:rFonts w:hint="eastAsia" w:ascii="Times New Roman" w:hAnsi="Times New Roman" w:eastAsia="仿宋_GB2312" w:cs="Times New Roman"/>
                <w:sz w:val="24"/>
              </w:rPr>
              <w:t>该项目聚焦阿尔茨海默病等老年认知障碍早期识别这一重大公共卫生难题，针对早期客观生物标记物缺乏、血管与遗传因素调控机制不明、基层智能化识别手段不足等行业痛点，围绕老年认知障碍影像遗传机制与智能识别关键技术，在遗传变异—脑自发活动调控机制、血管—类淋巴损伤机制、认知障碍智能识别与病因诊断等核心环节开展系统性原创研究与技术攻关，形成了从机制发现到临床应用的完整技术体系。主要成果包括：1、率先报道IL-1β、TOMM40、PICALM等常见遗传变异通过“基因型×疾病”交互作用调控遗忘型轻度认知障碍患者脑自发活动，提出脑活动“代偿升高—失代偿降低”转换的影像遗传学新认识；2、发现血管危险因素</w:t>
            </w:r>
            <w:r>
              <w:rPr>
                <w:rFonts w:hint="eastAsia" w:ascii="Times New Roman" w:hAnsi="Times New Roman" w:eastAsia="仿宋_GB2312" w:cs="Times New Roman"/>
                <w:sz w:val="24"/>
                <w:lang w:val="en-US" w:eastAsia="zh-CN"/>
              </w:rPr>
              <w:t>的集聚</w:t>
            </w:r>
            <w:r>
              <w:rPr>
                <w:rFonts w:hint="eastAsia" w:ascii="Times New Roman" w:hAnsi="Times New Roman" w:eastAsia="仿宋_GB2312" w:cs="Times New Roman"/>
                <w:sz w:val="24"/>
              </w:rPr>
              <w:t>显著调节轻度认知障碍患者海马神经活动并致神经代偿失效，揭示“脉络丛增大→类淋巴功能障碍→信息加工速度下降”新机制链，系统阐明高血压促进阿尔茨海默病的病理生理与神经影像机制；3、建立了基于优化随机森林算法的痴呆与轻度认知障碍智能识别模型（AUC 0.961、准确率0.894），并建立了基于多中心独立数据集（994例）验证的情景记忆相关脑影像标记个体化诊断模型（AD分类准确率&gt;86%），构建了基于15731例住院患者队列的快速进展性痴呆病因学诊断与预后评估体系，实现了老年认知障碍早期识别关键技术的临床转化落地</w:t>
            </w:r>
            <w:r>
              <w:rPr>
                <w:rFonts w:hint="eastAsia" w:ascii="Times New Roman" w:hAnsi="Times New Roman" w:eastAsia="仿宋_GB2312" w:cs="Times New Roman"/>
                <w:sz w:val="24"/>
                <w:lang w:eastAsia="zh-CN"/>
              </w:rPr>
              <w:t>。</w:t>
            </w:r>
          </w:p>
          <w:p w14:paraId="1A2B3C01">
            <w:pPr>
              <w:spacing w:after="0" w:line="276" w:lineRule="auto"/>
              <w:jc w:val="both"/>
              <w:rPr>
                <w:rFonts w:hint="default" w:ascii="Times New Roman" w:hAnsi="Times New Roman" w:eastAsia="仿宋_GB2312" w:cs="Times New Roman"/>
                <w:bCs/>
                <w:sz w:val="24"/>
              </w:rPr>
            </w:pPr>
            <w:r>
              <w:rPr>
                <w:rFonts w:hint="eastAsia" w:ascii="Times New Roman" w:hAnsi="Times New Roman" w:eastAsia="仿宋_GB2312" w:cs="Times New Roman"/>
                <w:sz w:val="24"/>
              </w:rPr>
              <w:t>该项目依托国家自然科学基金、浙江省自然科学基金等课题，累计在Journal of Neuroinflammation、Journal of Neurology、Neurology、Cerebral Cortex等国际权威学术期刊发表代表性论文</w:t>
            </w:r>
            <w:r>
              <w:rPr>
                <w:rFonts w:hint="eastAsia" w:ascii="Times New Roman" w:hAnsi="Times New Roman" w:eastAsia="仿宋_GB2312" w:cs="Times New Roman"/>
                <w:sz w:val="24"/>
                <w:lang w:val="en-US" w:eastAsia="zh-CN"/>
              </w:rPr>
              <w:t>10</w:t>
            </w:r>
            <w:bookmarkStart w:id="0" w:name="_GoBack"/>
            <w:bookmarkEnd w:id="0"/>
            <w:r>
              <w:rPr>
                <w:rFonts w:hint="eastAsia" w:ascii="Times New Roman" w:hAnsi="Times New Roman" w:eastAsia="仿宋_GB2312" w:cs="Times New Roman"/>
                <w:sz w:val="24"/>
              </w:rPr>
              <w:t>篇，形成了完善的理论成果支撑。相关脑自发活动影像标记分析技术、痴呆智能识别方法及快速进展性痴呆病因诊断框架已在省内外多家医疗单位推广应用。应用结果表明，该技术体系可有效提升老年认知障碍早期识别、病因鉴别与预后评估的精准化、智能化水平，推动痴呆防治关口前移，社会效益显著。</w:t>
            </w:r>
          </w:p>
          <w:p w14:paraId="1A2B3C02">
            <w:pPr>
              <w:spacing w:after="0" w:line="276" w:lineRule="auto"/>
              <w:jc w:val="right"/>
              <w:rPr>
                <w:rFonts w:hint="default" w:ascii="Times New Roman" w:hAnsi="Times New Roman" w:eastAsia="仿宋_GB2312" w:cs="Times New Roman"/>
                <w:bCs/>
                <w:sz w:val="24"/>
              </w:rPr>
            </w:pPr>
            <w:r>
              <w:rPr>
                <w:rFonts w:hint="eastAsia" w:ascii="Times New Roman" w:hAnsi="Times New Roman" w:eastAsia="仿宋_GB2312" w:cs="Times New Roman"/>
                <w:sz w:val="24"/>
              </w:rPr>
              <w:t>推荐该项目申报浙江医学科技奖青年科学技术奖。</w:t>
            </w:r>
          </w:p>
          <w:p w14:paraId="15614A55">
            <w:pPr>
              <w:spacing w:after="0" w:line="276" w:lineRule="auto"/>
              <w:jc w:val="both"/>
              <w:rPr>
                <w:rFonts w:hint="default" w:ascii="Times New Roman" w:hAnsi="Times New Roman" w:eastAsia="仿宋_GB2312" w:cs="Times New Roman"/>
                <w:bCs/>
                <w:sz w:val="24"/>
              </w:rPr>
            </w:pPr>
          </w:p>
          <w:p w14:paraId="104A8C73">
            <w:pPr>
              <w:spacing w:after="0" w:line="276" w:lineRule="auto"/>
              <w:jc w:val="both"/>
              <w:rPr>
                <w:rFonts w:hint="default" w:ascii="Times New Roman" w:hAnsi="Times New Roman" w:eastAsia="仿宋_GB2312" w:cs="Times New Roman"/>
                <w:bCs/>
                <w:sz w:val="24"/>
              </w:rPr>
            </w:pPr>
          </w:p>
          <w:p w14:paraId="6C38FF63">
            <w:pPr>
              <w:spacing w:after="0" w:line="276" w:lineRule="auto"/>
              <w:jc w:val="both"/>
              <w:rPr>
                <w:rFonts w:hint="default" w:ascii="Times New Roman" w:hAnsi="Times New Roman" w:eastAsia="仿宋_GB2312" w:cs="Times New Roman"/>
                <w:bCs/>
                <w:sz w:val="24"/>
              </w:rPr>
            </w:pPr>
          </w:p>
          <w:p w14:paraId="11DAC696">
            <w:pPr>
              <w:spacing w:after="0" w:line="276" w:lineRule="auto"/>
              <w:jc w:val="both"/>
              <w:rPr>
                <w:rFonts w:hint="default" w:ascii="Times New Roman" w:hAnsi="Times New Roman" w:eastAsia="仿宋_GB2312" w:cs="Times New Roman"/>
                <w:bCs/>
                <w:sz w:val="24"/>
              </w:rPr>
            </w:pPr>
          </w:p>
          <w:p w14:paraId="0AE69939">
            <w:pPr>
              <w:spacing w:after="0" w:line="276" w:lineRule="auto"/>
              <w:jc w:val="both"/>
              <w:rPr>
                <w:rFonts w:hint="default" w:ascii="Times New Roman" w:hAnsi="Times New Roman" w:eastAsia="仿宋_GB2312" w:cs="Times New Roman"/>
                <w:bCs/>
                <w:sz w:val="24"/>
              </w:rPr>
            </w:pPr>
          </w:p>
          <w:p w14:paraId="6796057B">
            <w:pPr>
              <w:spacing w:after="0" w:line="276" w:lineRule="auto"/>
              <w:jc w:val="both"/>
              <w:rPr>
                <w:rFonts w:hint="default" w:ascii="Times New Roman" w:hAnsi="Times New Roman" w:eastAsia="仿宋_GB2312" w:cs="Times New Roman"/>
                <w:bCs/>
                <w:sz w:val="24"/>
              </w:rPr>
            </w:pPr>
          </w:p>
          <w:p w14:paraId="66D7A4B2">
            <w:pPr>
              <w:spacing w:after="0" w:line="276" w:lineRule="auto"/>
              <w:jc w:val="both"/>
              <w:rPr>
                <w:rFonts w:hint="default" w:ascii="Times New Roman" w:hAnsi="Times New Roman" w:eastAsia="仿宋_GB2312" w:cs="Times New Roman"/>
                <w:bCs/>
                <w:sz w:val="24"/>
              </w:rPr>
            </w:pPr>
          </w:p>
          <w:p w14:paraId="0CBB356C">
            <w:pPr>
              <w:spacing w:after="0" w:line="276" w:lineRule="auto"/>
              <w:jc w:val="both"/>
              <w:rPr>
                <w:rFonts w:hint="default" w:ascii="Times New Roman" w:hAnsi="Times New Roman" w:eastAsia="仿宋_GB2312" w:cs="Times New Roman"/>
                <w:bCs/>
                <w:sz w:val="24"/>
              </w:rPr>
            </w:pPr>
          </w:p>
          <w:p w14:paraId="51ECAFB2">
            <w:pPr>
              <w:spacing w:after="0" w:line="276" w:lineRule="auto"/>
              <w:jc w:val="both"/>
              <w:rPr>
                <w:rFonts w:hint="default" w:ascii="Times New Roman" w:hAnsi="Times New Roman" w:eastAsia="仿宋_GB2312" w:cs="Times New Roman"/>
                <w:bCs/>
                <w:sz w:val="24"/>
              </w:rPr>
            </w:pPr>
          </w:p>
        </w:tc>
      </w:tr>
    </w:tbl>
    <w:p w14:paraId="5FDDD9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001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74D5"/>
    <w:rsid w:val="00D403EB"/>
    <w:rsid w:val="011078C7"/>
    <w:rsid w:val="016D4D19"/>
    <w:rsid w:val="01934780"/>
    <w:rsid w:val="01A050EF"/>
    <w:rsid w:val="02070CCA"/>
    <w:rsid w:val="024B505A"/>
    <w:rsid w:val="02B0310F"/>
    <w:rsid w:val="02FA438B"/>
    <w:rsid w:val="030B47EA"/>
    <w:rsid w:val="03CF3A69"/>
    <w:rsid w:val="04E23328"/>
    <w:rsid w:val="050D2A9B"/>
    <w:rsid w:val="051554AC"/>
    <w:rsid w:val="053C0C8A"/>
    <w:rsid w:val="05634469"/>
    <w:rsid w:val="056D52E8"/>
    <w:rsid w:val="05924D4E"/>
    <w:rsid w:val="05926AFC"/>
    <w:rsid w:val="05A01219"/>
    <w:rsid w:val="05A625A8"/>
    <w:rsid w:val="05E355AA"/>
    <w:rsid w:val="05EF21A1"/>
    <w:rsid w:val="05F477B7"/>
    <w:rsid w:val="06B07B82"/>
    <w:rsid w:val="06F757B1"/>
    <w:rsid w:val="07153E89"/>
    <w:rsid w:val="071F2612"/>
    <w:rsid w:val="07893F2F"/>
    <w:rsid w:val="079C3C62"/>
    <w:rsid w:val="07EC6998"/>
    <w:rsid w:val="07F7358F"/>
    <w:rsid w:val="08332819"/>
    <w:rsid w:val="086E55FF"/>
    <w:rsid w:val="08DC4C5E"/>
    <w:rsid w:val="09F47D86"/>
    <w:rsid w:val="0A146C63"/>
    <w:rsid w:val="0A481E7F"/>
    <w:rsid w:val="0A825391"/>
    <w:rsid w:val="0ABA2D7D"/>
    <w:rsid w:val="0AFC15E8"/>
    <w:rsid w:val="0C1B5A9E"/>
    <w:rsid w:val="0C3B1C9C"/>
    <w:rsid w:val="0C767178"/>
    <w:rsid w:val="0D501777"/>
    <w:rsid w:val="0DE545B5"/>
    <w:rsid w:val="0E4F5ED2"/>
    <w:rsid w:val="0E741495"/>
    <w:rsid w:val="0E833DCE"/>
    <w:rsid w:val="0ED9579C"/>
    <w:rsid w:val="0EEA1757"/>
    <w:rsid w:val="0FCE2E27"/>
    <w:rsid w:val="0FE91A0F"/>
    <w:rsid w:val="106B68C8"/>
    <w:rsid w:val="10857989"/>
    <w:rsid w:val="10947BCD"/>
    <w:rsid w:val="10A06571"/>
    <w:rsid w:val="10A36062"/>
    <w:rsid w:val="10C6648B"/>
    <w:rsid w:val="10F66AD9"/>
    <w:rsid w:val="11447845"/>
    <w:rsid w:val="115F467E"/>
    <w:rsid w:val="116972AB"/>
    <w:rsid w:val="11785740"/>
    <w:rsid w:val="11AE1162"/>
    <w:rsid w:val="121C256F"/>
    <w:rsid w:val="12802AFE"/>
    <w:rsid w:val="128D6FC9"/>
    <w:rsid w:val="129640D0"/>
    <w:rsid w:val="130354DD"/>
    <w:rsid w:val="1338211D"/>
    <w:rsid w:val="13BA2040"/>
    <w:rsid w:val="14072DAB"/>
    <w:rsid w:val="143811B7"/>
    <w:rsid w:val="14551D69"/>
    <w:rsid w:val="14A800EA"/>
    <w:rsid w:val="14F41582"/>
    <w:rsid w:val="15363948"/>
    <w:rsid w:val="156F6E5A"/>
    <w:rsid w:val="15A44D56"/>
    <w:rsid w:val="15EE4223"/>
    <w:rsid w:val="16287735"/>
    <w:rsid w:val="175400B6"/>
    <w:rsid w:val="176E561B"/>
    <w:rsid w:val="17EA27C8"/>
    <w:rsid w:val="17F84EE5"/>
    <w:rsid w:val="18090EA0"/>
    <w:rsid w:val="182E6B59"/>
    <w:rsid w:val="18BF0CB1"/>
    <w:rsid w:val="18C66D91"/>
    <w:rsid w:val="18DE232D"/>
    <w:rsid w:val="18E436BB"/>
    <w:rsid w:val="19485135"/>
    <w:rsid w:val="197762DD"/>
    <w:rsid w:val="19C01A32"/>
    <w:rsid w:val="19CA465F"/>
    <w:rsid w:val="1A231FC1"/>
    <w:rsid w:val="1A530AF8"/>
    <w:rsid w:val="1A693D73"/>
    <w:rsid w:val="1AB01AA7"/>
    <w:rsid w:val="1ADA2FC8"/>
    <w:rsid w:val="1B252495"/>
    <w:rsid w:val="1B4072CF"/>
    <w:rsid w:val="1B8A679C"/>
    <w:rsid w:val="1B9E1B6F"/>
    <w:rsid w:val="1BB9498B"/>
    <w:rsid w:val="1C5A616E"/>
    <w:rsid w:val="1C6568C1"/>
    <w:rsid w:val="1C890801"/>
    <w:rsid w:val="1D183933"/>
    <w:rsid w:val="1D383FD6"/>
    <w:rsid w:val="1D7768AC"/>
    <w:rsid w:val="1DA358F3"/>
    <w:rsid w:val="1DA67191"/>
    <w:rsid w:val="1DF60118"/>
    <w:rsid w:val="1E032835"/>
    <w:rsid w:val="1E845724"/>
    <w:rsid w:val="1EF503D0"/>
    <w:rsid w:val="1F5570C1"/>
    <w:rsid w:val="1FED10A7"/>
    <w:rsid w:val="20234AC9"/>
    <w:rsid w:val="20586E69"/>
    <w:rsid w:val="20DA5ACF"/>
    <w:rsid w:val="213351E0"/>
    <w:rsid w:val="218B501C"/>
    <w:rsid w:val="21C5052E"/>
    <w:rsid w:val="21D95D87"/>
    <w:rsid w:val="21E464DA"/>
    <w:rsid w:val="21FE759C"/>
    <w:rsid w:val="221C3EC6"/>
    <w:rsid w:val="2241392C"/>
    <w:rsid w:val="224C47AB"/>
    <w:rsid w:val="22993768"/>
    <w:rsid w:val="22F8223D"/>
    <w:rsid w:val="234436D4"/>
    <w:rsid w:val="23847F75"/>
    <w:rsid w:val="23F0560A"/>
    <w:rsid w:val="23F76998"/>
    <w:rsid w:val="243948BB"/>
    <w:rsid w:val="247B4ED4"/>
    <w:rsid w:val="24AA7567"/>
    <w:rsid w:val="24C525F3"/>
    <w:rsid w:val="24F46A34"/>
    <w:rsid w:val="25317C88"/>
    <w:rsid w:val="26084E8D"/>
    <w:rsid w:val="26094761"/>
    <w:rsid w:val="26502390"/>
    <w:rsid w:val="26CF59AB"/>
    <w:rsid w:val="26FE3B9A"/>
    <w:rsid w:val="277976C4"/>
    <w:rsid w:val="27A209C9"/>
    <w:rsid w:val="27FD20A3"/>
    <w:rsid w:val="280244EC"/>
    <w:rsid w:val="28942A08"/>
    <w:rsid w:val="289E73E3"/>
    <w:rsid w:val="29567CBD"/>
    <w:rsid w:val="295D104C"/>
    <w:rsid w:val="29A925F2"/>
    <w:rsid w:val="2A832D34"/>
    <w:rsid w:val="2AAB4039"/>
    <w:rsid w:val="2B231E21"/>
    <w:rsid w:val="2BF10171"/>
    <w:rsid w:val="2BF51A0F"/>
    <w:rsid w:val="2C0F23A5"/>
    <w:rsid w:val="2C7A1F15"/>
    <w:rsid w:val="2C7C7A3B"/>
    <w:rsid w:val="2C931796"/>
    <w:rsid w:val="2D5B7F98"/>
    <w:rsid w:val="2D5C5ABE"/>
    <w:rsid w:val="2D8748E9"/>
    <w:rsid w:val="2D9C5EBB"/>
    <w:rsid w:val="2DCA2A28"/>
    <w:rsid w:val="2DE735DA"/>
    <w:rsid w:val="2E0423DE"/>
    <w:rsid w:val="2E385BE3"/>
    <w:rsid w:val="2E3A195C"/>
    <w:rsid w:val="2E41718E"/>
    <w:rsid w:val="2E9D638E"/>
    <w:rsid w:val="2EB931C8"/>
    <w:rsid w:val="2F067A90"/>
    <w:rsid w:val="2F37233F"/>
    <w:rsid w:val="2F61116A"/>
    <w:rsid w:val="2F917CA1"/>
    <w:rsid w:val="2F9B28CE"/>
    <w:rsid w:val="2FB43990"/>
    <w:rsid w:val="2FCD4A51"/>
    <w:rsid w:val="2FDE6C5E"/>
    <w:rsid w:val="306C7DC6"/>
    <w:rsid w:val="30F501B0"/>
    <w:rsid w:val="315E3BB3"/>
    <w:rsid w:val="323112C7"/>
    <w:rsid w:val="324234D5"/>
    <w:rsid w:val="327D275F"/>
    <w:rsid w:val="32827D75"/>
    <w:rsid w:val="332D7CE1"/>
    <w:rsid w:val="33775400"/>
    <w:rsid w:val="338673F1"/>
    <w:rsid w:val="33C148CD"/>
    <w:rsid w:val="34014CC9"/>
    <w:rsid w:val="34321327"/>
    <w:rsid w:val="344C23E9"/>
    <w:rsid w:val="34C06933"/>
    <w:rsid w:val="34DA3E98"/>
    <w:rsid w:val="353115DE"/>
    <w:rsid w:val="357065AB"/>
    <w:rsid w:val="36794FEB"/>
    <w:rsid w:val="36A858D0"/>
    <w:rsid w:val="37046FAB"/>
    <w:rsid w:val="37054AD1"/>
    <w:rsid w:val="375C0B95"/>
    <w:rsid w:val="377E4FAF"/>
    <w:rsid w:val="37F963E3"/>
    <w:rsid w:val="384F24A7"/>
    <w:rsid w:val="38EF77E6"/>
    <w:rsid w:val="38F1355F"/>
    <w:rsid w:val="390A4620"/>
    <w:rsid w:val="392F4087"/>
    <w:rsid w:val="393A3157"/>
    <w:rsid w:val="39673821"/>
    <w:rsid w:val="39691347"/>
    <w:rsid w:val="39CD5D7A"/>
    <w:rsid w:val="3A137505"/>
    <w:rsid w:val="3A2B6F44"/>
    <w:rsid w:val="3A5169AB"/>
    <w:rsid w:val="3A52627F"/>
    <w:rsid w:val="3A5E69D2"/>
    <w:rsid w:val="3AE72E6B"/>
    <w:rsid w:val="3B620744"/>
    <w:rsid w:val="3B762441"/>
    <w:rsid w:val="3BA725FA"/>
    <w:rsid w:val="3C137C90"/>
    <w:rsid w:val="3D87623F"/>
    <w:rsid w:val="3E067AAC"/>
    <w:rsid w:val="3F4559BA"/>
    <w:rsid w:val="3F964E60"/>
    <w:rsid w:val="3FBA6DA0"/>
    <w:rsid w:val="3FD85478"/>
    <w:rsid w:val="402329BE"/>
    <w:rsid w:val="402406BD"/>
    <w:rsid w:val="4033445D"/>
    <w:rsid w:val="4081166C"/>
    <w:rsid w:val="419929E5"/>
    <w:rsid w:val="41B11ADD"/>
    <w:rsid w:val="41D028AB"/>
    <w:rsid w:val="421A58D4"/>
    <w:rsid w:val="42366486"/>
    <w:rsid w:val="42A47894"/>
    <w:rsid w:val="42B46777"/>
    <w:rsid w:val="42B51AA1"/>
    <w:rsid w:val="42B9333F"/>
    <w:rsid w:val="42C7578F"/>
    <w:rsid w:val="42CA554C"/>
    <w:rsid w:val="430420E0"/>
    <w:rsid w:val="430D368B"/>
    <w:rsid w:val="43D30430"/>
    <w:rsid w:val="43F9776B"/>
    <w:rsid w:val="43FA3C0F"/>
    <w:rsid w:val="44801C3A"/>
    <w:rsid w:val="448E4357"/>
    <w:rsid w:val="44BC7116"/>
    <w:rsid w:val="452D3B70"/>
    <w:rsid w:val="4561381A"/>
    <w:rsid w:val="456B28EB"/>
    <w:rsid w:val="458F0387"/>
    <w:rsid w:val="46CC1167"/>
    <w:rsid w:val="46E666CD"/>
    <w:rsid w:val="475950F1"/>
    <w:rsid w:val="47841A42"/>
    <w:rsid w:val="47EB386F"/>
    <w:rsid w:val="47EC1AC1"/>
    <w:rsid w:val="489108BA"/>
    <w:rsid w:val="494616A5"/>
    <w:rsid w:val="49CA4084"/>
    <w:rsid w:val="49EF7646"/>
    <w:rsid w:val="4A282B58"/>
    <w:rsid w:val="4A5C2802"/>
    <w:rsid w:val="4B1A06F3"/>
    <w:rsid w:val="4BB74194"/>
    <w:rsid w:val="4BEF7DD1"/>
    <w:rsid w:val="4C43011D"/>
    <w:rsid w:val="4C7622A1"/>
    <w:rsid w:val="4C912C37"/>
    <w:rsid w:val="4CD314A1"/>
    <w:rsid w:val="4D4E6D7A"/>
    <w:rsid w:val="4D6E2F78"/>
    <w:rsid w:val="4DE66FB2"/>
    <w:rsid w:val="4E6D3230"/>
    <w:rsid w:val="4EE334F2"/>
    <w:rsid w:val="4F560168"/>
    <w:rsid w:val="4F5A37B4"/>
    <w:rsid w:val="4FAD5FDA"/>
    <w:rsid w:val="50096F88"/>
    <w:rsid w:val="50597F0F"/>
    <w:rsid w:val="506B19F1"/>
    <w:rsid w:val="50A62A29"/>
    <w:rsid w:val="50B45146"/>
    <w:rsid w:val="50DD28EE"/>
    <w:rsid w:val="519136D9"/>
    <w:rsid w:val="521A547C"/>
    <w:rsid w:val="5233653E"/>
    <w:rsid w:val="52F91536"/>
    <w:rsid w:val="5314011E"/>
    <w:rsid w:val="53206AC2"/>
    <w:rsid w:val="535E75EB"/>
    <w:rsid w:val="537B1F4B"/>
    <w:rsid w:val="538E1C7E"/>
    <w:rsid w:val="543C16DA"/>
    <w:rsid w:val="54422A68"/>
    <w:rsid w:val="548B08B3"/>
    <w:rsid w:val="54C65448"/>
    <w:rsid w:val="54E35FFA"/>
    <w:rsid w:val="55102B67"/>
    <w:rsid w:val="55254864"/>
    <w:rsid w:val="55287EB0"/>
    <w:rsid w:val="553625CD"/>
    <w:rsid w:val="55410F72"/>
    <w:rsid w:val="5630526E"/>
    <w:rsid w:val="563D798B"/>
    <w:rsid w:val="56A874FB"/>
    <w:rsid w:val="56EB73E7"/>
    <w:rsid w:val="56ED7603"/>
    <w:rsid w:val="572D5C52"/>
    <w:rsid w:val="574F7976"/>
    <w:rsid w:val="576F1DC6"/>
    <w:rsid w:val="57E04A72"/>
    <w:rsid w:val="57F552B8"/>
    <w:rsid w:val="581B5AAA"/>
    <w:rsid w:val="583077A8"/>
    <w:rsid w:val="58767185"/>
    <w:rsid w:val="58A65CBC"/>
    <w:rsid w:val="58EF7663"/>
    <w:rsid w:val="593908DE"/>
    <w:rsid w:val="593B3321"/>
    <w:rsid w:val="598558D1"/>
    <w:rsid w:val="59EA7E2A"/>
    <w:rsid w:val="5A81078E"/>
    <w:rsid w:val="5A875679"/>
    <w:rsid w:val="5A963B0E"/>
    <w:rsid w:val="5AD05272"/>
    <w:rsid w:val="5B120263"/>
    <w:rsid w:val="5C71038F"/>
    <w:rsid w:val="5C8F6A67"/>
    <w:rsid w:val="5CC04E72"/>
    <w:rsid w:val="5D647EF4"/>
    <w:rsid w:val="5D7A3273"/>
    <w:rsid w:val="5DF64FF0"/>
    <w:rsid w:val="5E402DCE"/>
    <w:rsid w:val="5F13572D"/>
    <w:rsid w:val="5F97010C"/>
    <w:rsid w:val="5FD17AC2"/>
    <w:rsid w:val="5FDC1FC3"/>
    <w:rsid w:val="600B5EC6"/>
    <w:rsid w:val="60D96503"/>
    <w:rsid w:val="60F577E0"/>
    <w:rsid w:val="614E0C9F"/>
    <w:rsid w:val="6208709F"/>
    <w:rsid w:val="62D6719E"/>
    <w:rsid w:val="62F45876"/>
    <w:rsid w:val="631B2E02"/>
    <w:rsid w:val="63387E58"/>
    <w:rsid w:val="637864A7"/>
    <w:rsid w:val="63E43B3C"/>
    <w:rsid w:val="641A755E"/>
    <w:rsid w:val="64216B3E"/>
    <w:rsid w:val="64264155"/>
    <w:rsid w:val="64502F80"/>
    <w:rsid w:val="64754794"/>
    <w:rsid w:val="647E189B"/>
    <w:rsid w:val="65424FBE"/>
    <w:rsid w:val="65A13A93"/>
    <w:rsid w:val="65D774B5"/>
    <w:rsid w:val="66044022"/>
    <w:rsid w:val="66291CDA"/>
    <w:rsid w:val="665925BF"/>
    <w:rsid w:val="66C20165"/>
    <w:rsid w:val="66D954AE"/>
    <w:rsid w:val="674548F2"/>
    <w:rsid w:val="68024591"/>
    <w:rsid w:val="6833299C"/>
    <w:rsid w:val="68570D81"/>
    <w:rsid w:val="68996CA3"/>
    <w:rsid w:val="68BC6E36"/>
    <w:rsid w:val="68C47A98"/>
    <w:rsid w:val="69270753"/>
    <w:rsid w:val="696A4AE4"/>
    <w:rsid w:val="6A1F142A"/>
    <w:rsid w:val="6B0074AE"/>
    <w:rsid w:val="6BDB5825"/>
    <w:rsid w:val="6BEC17E0"/>
    <w:rsid w:val="6C2C7E2E"/>
    <w:rsid w:val="6C3D64DF"/>
    <w:rsid w:val="6C6E48EB"/>
    <w:rsid w:val="6C707C1B"/>
    <w:rsid w:val="6CD02EB0"/>
    <w:rsid w:val="6D8A12B0"/>
    <w:rsid w:val="6EA42846"/>
    <w:rsid w:val="6EB72579"/>
    <w:rsid w:val="6ECE341F"/>
    <w:rsid w:val="6ED30A35"/>
    <w:rsid w:val="6EE175F6"/>
    <w:rsid w:val="6F2A2D4B"/>
    <w:rsid w:val="6F3C65DA"/>
    <w:rsid w:val="6F651FD5"/>
    <w:rsid w:val="6FCE7B7A"/>
    <w:rsid w:val="6FD20CED"/>
    <w:rsid w:val="70324670"/>
    <w:rsid w:val="70BA1EAD"/>
    <w:rsid w:val="70E64A50"/>
    <w:rsid w:val="70E94540"/>
    <w:rsid w:val="71092E34"/>
    <w:rsid w:val="714479C8"/>
    <w:rsid w:val="726E73F3"/>
    <w:rsid w:val="727662A7"/>
    <w:rsid w:val="72B15531"/>
    <w:rsid w:val="730C2768"/>
    <w:rsid w:val="74275AAB"/>
    <w:rsid w:val="747D1B6F"/>
    <w:rsid w:val="747F58E7"/>
    <w:rsid w:val="748702F8"/>
    <w:rsid w:val="74AC4202"/>
    <w:rsid w:val="74FF4332"/>
    <w:rsid w:val="7557416E"/>
    <w:rsid w:val="757E794D"/>
    <w:rsid w:val="764D37C3"/>
    <w:rsid w:val="76962A74"/>
    <w:rsid w:val="76FA74A7"/>
    <w:rsid w:val="77147E3D"/>
    <w:rsid w:val="77737259"/>
    <w:rsid w:val="779416A9"/>
    <w:rsid w:val="7798281C"/>
    <w:rsid w:val="77EF4B32"/>
    <w:rsid w:val="78063C29"/>
    <w:rsid w:val="782642CC"/>
    <w:rsid w:val="7899684C"/>
    <w:rsid w:val="78C064CE"/>
    <w:rsid w:val="78CD4747"/>
    <w:rsid w:val="78DB6E64"/>
    <w:rsid w:val="79863274"/>
    <w:rsid w:val="7A262361"/>
    <w:rsid w:val="7A356A48"/>
    <w:rsid w:val="7A6D1D3E"/>
    <w:rsid w:val="7A796935"/>
    <w:rsid w:val="7B6C46EB"/>
    <w:rsid w:val="7BBA5457"/>
    <w:rsid w:val="7BBC2F7D"/>
    <w:rsid w:val="7BC9569A"/>
    <w:rsid w:val="7BF76FA3"/>
    <w:rsid w:val="7CD9190C"/>
    <w:rsid w:val="7CDE33C7"/>
    <w:rsid w:val="7CE64029"/>
    <w:rsid w:val="7CE81B50"/>
    <w:rsid w:val="7D6531A0"/>
    <w:rsid w:val="7D741635"/>
    <w:rsid w:val="7DD520D4"/>
    <w:rsid w:val="7DEB5D9B"/>
    <w:rsid w:val="7E0D5D12"/>
    <w:rsid w:val="7E590F57"/>
    <w:rsid w:val="7E70004F"/>
    <w:rsid w:val="7E8F4979"/>
    <w:rsid w:val="7ECF4497"/>
    <w:rsid w:val="7EEA1BAF"/>
    <w:rsid w:val="7EFC5D86"/>
    <w:rsid w:val="7F0A2251"/>
    <w:rsid w:val="7FD10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title1"/>
    <w:qFormat/>
    <w:uiPriority w:val="0"/>
    <w:rPr>
      <w:b/>
      <w:bCs/>
      <w:color w:val="99990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1463</Words>
  <Characters>1645</Characters>
  <Lines>0</Lines>
  <Paragraphs>0</Paragraphs>
  <TotalTime>0</TotalTime>
  <ScaleCrop>false</ScaleCrop>
  <LinksUpToDate>false</LinksUpToDate>
  <CharactersWithSpaces>1657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2026-09-21T01:45:00Z</dcterms:created>
  <dc:creator>Administrator</dc:creator>
  <cp:lastModifiedBy>云端漫步</cp:lastModifiedBy>
  <dcterms:modified xsi:type="dcterms:W3CDTF">2026-10-22T15:58:22Z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eyJoZGlkIjoiMzEwNTM5NzYwMDRjMzkwZTVkZjY2ODkwMGIxNGU0OTUiLCJ1c2VySWQiOiI0MzcwNTc5NTUifQ==</vt:lpwstr>
  </property>
  <property fmtid="{D5CDD505-2E9C-101B-9397-08002B2CF9AE}" pid="4" name="ICV">
    <vt:lpwstr>A5A00492588F4BB39056D5A2E95D0E57_12</vt:lpwstr>
  </property>
</Properties>
</file>