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8.2.8 (Apache licensed) using ORACLE_JRE JAXB in Oracle Java 1.8.0_45 on Linux -->
    <w:p>
      <w:pPr>
        <w:pStyle w:val="Heading1"/>
        <w:spacing w:line="288" w:lineRule="auto"/>
        <w:ind/>
        <w:jc w:val="center"/>
      </w:pPr>
      <w:r>
        <w:rPr>
          <w:rFonts w:hint="eastAsia" w:ascii="微软雅黑" w:hAnsi="微软雅黑" w:eastAsia="微软雅黑"/>
          <w:b/>
          <w:noProof/>
          <w:color w:val="000000"/>
          <w:sz w:val="40"/>
        </w:rPr>
        <w:t>涉及人的临床研究伦理审查委员会建设指南（2023版）正式发布</w:t>
      </w:r>
    </w:p>
    <w:p>
      <w:pPr>
        <w:pStyle w:val="Heading3"/>
        <w:spacing w:line="288" w:lineRule="auto"/>
        <w:ind/>
        <w:jc w:val="left"/>
      </w:pPr>
      <w:r>
        <w:rPr>
          <w:rFonts w:hint="eastAsia" w:ascii="微软雅黑" w:hAnsi="微软雅黑" w:eastAsia="微软雅黑"/>
          <w:b/>
          <w:noProof/>
          <w:color w:val="000000"/>
          <w:sz w:val="32"/>
        </w:rPr>
        <w:t>指南修订背景与意义</w:t>
      </w:r>
    </w:p>
    <w:p>
      <w:pPr>
        <w:spacing w:line="288" w:lineRule="auto"/>
        <w:ind w:firstLine="480" w:firstLineChars="200"/>
        <w:jc w:val="left"/>
      </w:pPr>
      <w:r>
        <w:rPr>
          <w:rFonts w:hint="eastAsia" w:ascii="微软雅黑" w:hAnsi="微软雅黑" w:eastAsia="微软雅黑"/>
          <w:noProof/>
          <w:color w:val="000000"/>
          <w:sz w:val="24"/>
        </w:rPr>
        <w:t>国家卫生健康委员会医学伦理专家委员会办公室与中国医院协会在卫健委科教司的指导下，于2023年6月完成了《涉及人的临床研究伦理审查委员会建设指南》的全面修订工作。此次修订是在2020版指南基础上，结合近年来国内外医学伦理审查实践的最新发展，特别是针对我国临床研究伦理审查工作中出现的新情况、新问题而进行的系统性更新。</w:t>
      </w:r>
    </w:p>
    <w:p>
      <w:pPr>
        <w:spacing w:line="288" w:lineRule="auto"/>
        <w:ind w:firstLine="480" w:firstLineChars="200"/>
        <w:jc w:val="left"/>
      </w:pPr>
      <w:r>
        <w:rPr>
          <w:rFonts w:hint="eastAsia" w:ascii="微软雅黑" w:hAnsi="微软雅黑" w:eastAsia="微软雅黑"/>
          <w:noProof/>
          <w:color w:val="000000"/>
          <w:sz w:val="24"/>
        </w:rPr>
        <w:t>随着生物医学研究的快速发展，涉及人类受试者的临床研究项目数量呈现爆发式增长，研究类型也日趋复杂多样。与此同时，国际社会对研究伦理的关注度不断提升，世界医学会《赫尔辛基宣言》、国际医学科学组织理事会（CIOMS）指南等国际伦理准则相继更新。在此背景下，2023版指南的发布恰逢其时，将为我国各级医疗机构和研究机构伦理委员会的建设与运行提供更加科学、规范的指导。</w:t>
      </w:r>
    </w:p>
    <w:p>
      <w:pPr>
        <w:pStyle w:val="Heading3"/>
        <w:spacing w:line="288" w:lineRule="auto"/>
        <w:ind/>
        <w:jc w:val="left"/>
      </w:pPr>
      <w:r>
        <w:rPr>
          <w:rFonts w:hint="eastAsia" w:ascii="微软雅黑" w:hAnsi="微软雅黑" w:eastAsia="微软雅黑"/>
          <w:b/>
          <w:noProof/>
          <w:color w:val="000000"/>
          <w:sz w:val="32"/>
        </w:rPr>
        <w:t>主要修订内容概述</w:t>
      </w:r>
    </w:p>
    <w:p>
      <w:pPr>
        <w:spacing w:line="288" w:lineRule="auto"/>
        <w:ind w:firstLine="480" w:firstLineChars="200"/>
        <w:jc w:val="left"/>
      </w:pPr>
      <w:r>
        <w:rPr>
          <w:rFonts w:hint="eastAsia" w:ascii="微软雅黑" w:hAnsi="微软雅黑" w:eastAsia="微软雅黑"/>
          <w:noProof/>
          <w:color w:val="000000"/>
          <w:sz w:val="24"/>
        </w:rPr>
        <w:t>2023版指南在保持原有框架的基础上，对多个关键章节进行了重大修订和完善。在伦理委员会组织架构方面，进一步细化了委员会成员的资质要求、专业构成和人数标准，特别强调了多学科背景和社区代表的必要性。针对近年来快速发展的基因治疗、干细胞研究等新兴领域，新增了专门的伦理审查要点章节。</w:t>
      </w:r>
    </w:p>
    <w:p>
      <w:pPr>
        <w:spacing w:line="288" w:lineRule="auto"/>
        <w:ind w:firstLine="480" w:firstLineChars="200"/>
        <w:jc w:val="left"/>
      </w:pPr>
      <w:r>
        <w:rPr>
          <w:rFonts w:hint="eastAsia" w:ascii="微软雅黑" w:hAnsi="微软雅黑" w:eastAsia="微软雅黑"/>
          <w:noProof/>
          <w:color w:val="000000"/>
          <w:sz w:val="24"/>
        </w:rPr>
        <w:t>审查程序方面，指南强化了初始审查、跟踪审查和紧急审查的具体操作规范，明确了不同类型研究项目的审查时限要求。值得一提的是，新版指南首次系统性地纳入了多中心研究伦理审查协作机制的内容，为解决长期以来困扰研究者的多中心伦理审查重复、标准不一等问题提供了可行方案。</w:t>
      </w:r>
    </w:p>
    <w:p>
      <w:pPr>
        <w:pStyle w:val="Heading3"/>
        <w:spacing w:line="288" w:lineRule="auto"/>
        <w:ind/>
        <w:jc w:val="left"/>
      </w:pPr>
      <w:r>
        <w:rPr>
          <w:rFonts w:hint="eastAsia" w:ascii="微软雅黑" w:hAnsi="微软雅黑" w:eastAsia="微软雅黑"/>
          <w:b/>
          <w:noProof/>
          <w:color w:val="000000"/>
          <w:sz w:val="32"/>
        </w:rPr>
        <w:t>指南实施的重要意义</w:t>
      </w:r>
    </w:p>
    <w:p>
      <w:pPr>
        <w:spacing w:line="288" w:lineRule="auto"/>
        <w:ind w:firstLine="480" w:firstLineChars="200"/>
        <w:jc w:val="left"/>
      </w:pPr>
      <w:r>
        <w:rPr>
          <w:rFonts w:hint="eastAsia" w:ascii="微软雅黑" w:hAnsi="微软雅黑" w:eastAsia="微软雅黑"/>
          <w:noProof/>
          <w:color w:val="000000"/>
          <w:sz w:val="24"/>
        </w:rPr>
        <w:t>该指南的实施将有力推动我国临床研究伦理审查工作的规范化、标准化进程。通过统一全国伦理委员会的建设标准，可以有效提升伦理审查质量，保障受试者权益，同时为研究者提供更加明确的伦理审查预期。从长远来看，规范的伦理审查机制将促进我国临床研究质量的整体提升，增强国际社会对我国研究数据的认可度。</w:t>
      </w:r>
    </w:p>
    <w:p>
      <w:pPr>
        <w:spacing w:line="288" w:lineRule="auto"/>
        <w:ind w:firstLine="480" w:firstLineChars="200"/>
        <w:jc w:val="left"/>
      </w:pPr>
      <w:r>
        <w:rPr>
          <w:rFonts w:hint="eastAsia" w:ascii="微软雅黑" w:hAnsi="微软雅黑" w:eastAsia="微软雅黑"/>
          <w:noProof/>
          <w:color w:val="000000"/>
          <w:sz w:val="24"/>
        </w:rPr>
        <w:t>指南特别强调，伦理委员会不仅要关注形式合规性，更要注重实质性伦理评估能力的建设。这要求伦理委员会成员持续更新专业知识，提高伦理敏感性，在保护受试者权益与促进医学科学发展之间寻求恰当平衡。随着指南的推广应用，预计将在全国范围内形成更加统一、高效的伦理审查体系。</w:t>
      </w:r>
    </w:p>
    <w:p>
      <w:pPr>
        <w:pStyle w:val="Heading3"/>
        <w:spacing w:line="288" w:lineRule="auto"/>
        <w:ind/>
        <w:jc w:val="left"/>
      </w:pPr>
      <w:r>
        <w:rPr>
          <w:rFonts w:hint="eastAsia" w:ascii="微软雅黑" w:hAnsi="微软雅黑" w:eastAsia="微软雅黑"/>
          <w:b/>
          <w:noProof/>
          <w:color w:val="000000"/>
          <w:sz w:val="32"/>
        </w:rPr>
        <w:t>后续工作展望</w:t>
      </w:r>
    </w:p>
    <w:p>
      <w:pPr>
        <w:spacing w:line="288" w:lineRule="auto"/>
        <w:ind w:firstLine="480" w:firstLineChars="200"/>
        <w:jc w:val="left"/>
      </w:pPr>
      <w:r>
        <w:rPr>
          <w:rFonts w:hint="eastAsia" w:ascii="微软雅黑" w:hAnsi="微软雅黑" w:eastAsia="微软雅黑"/>
          <w:noProof/>
          <w:color w:val="000000"/>
          <w:sz w:val="24"/>
        </w:rPr>
        <w:t>中国医院协会相关负责人表示，将组织开展全国范围内的指南宣贯培训工作，帮助各级伦理委员会准确理解和落实指南要求。同时，协会将建立定期评估机制，收集指南实施过程中的反馈意见，为未来版本更新积累实践经验。</w:t>
      </w:r>
    </w:p>
    <w:p>
      <w:pPr>
        <w:spacing w:line="288" w:lineRule="auto"/>
        <w:ind w:firstLine="480" w:firstLineChars="200"/>
        <w:jc w:val="left"/>
      </w:pPr>
      <w:r>
        <w:rPr>
          <w:rFonts w:hint="eastAsia" w:ascii="微软雅黑" w:hAnsi="微软雅黑" w:eastAsia="微软雅黑"/>
          <w:noProof/>
          <w:color w:val="000000"/>
          <w:sz w:val="24"/>
        </w:rPr>
        <w:t>学术界普遍认为，2023版指南的发布标志着我国医学伦理治理体系建设进入新阶段。下一步，相关部门应考虑配套制定实施细则和评估标准，并探索建立伦理审查质量认证制度，全方位提升我国医学研究的伦理治理水平。随着指南的深入实施，我国在保护研究受试者权益方面的制度优势将得到进一步彰显。</w:t>
      </w:r>
    </w:p>
    <w:sectPr>
      <w:pgSz w:w="11906" w:h="16838"/>
      <w:pgMar w:top="1440" w:right="1800" w:bottom="1440" w:left="1800" w:header="851" w:footer="992" w:gutter="0"/>
      <w:docGrid w:type="lines" w:linePitch="312"/>
    </w:sectPr>
  </w:body>
</w:document>
</file>

<file path=word/settings.xml><?xml version="1.0" encoding="utf-8"?>
<w:setting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balanceSingleByteDoubleByteWidth/>
    <w:ulTrailSpace/>
    <w:doNotExpandShiftReturn/>
    <w:compatSetting w:name="overrideTableStyleFontSizeAndJustification" w:uri="http://schemas.microsoft.com/office/word" w:val="1"/>
    <w:compatSetting w:name="compatibilityMode" w:uri="http://schemas.microsoft.com/office/word" w:val="16"/>
  </w:compat>
</w:setting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pPr>
      <w:spacing w:before="0" w:beforeLines="0" w:after="0" w:afterLines="0" w:line="240"/>
      <w:jc w:val="both"/>
    </w:pPr>
    <w:rPr>
      <w:rFonts w:ascii="Calibri" w:hAnsi="Calibri" w:eastAsia="等线" w:cs="21"/>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black"/>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black"/>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black"/>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black"/>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s>

</file>

<file path=docProps/app.xml><?xml version="1.0" encoding="utf-8"?>
<properties:Properties xmlns:properties="http://schemas.openxmlformats.org/officeDocument/2006/extended-properties" xmlns:vt="http://schemas.openxmlformats.org/officeDocument/2006/docPropsVTypes">
  <properties:Company/>
  <properties:Application/>
  <properties:AppVersion>1.1</properties:AppVersion>
</properties:Properties>
</file>

<file path=docProps/core.xml><?xml version="1.0" encoding="utf-8"?>
<cp:coreProperties xmlns:cp="http://schemas.openxmlformats.org/package/2006/metadata/core-properties" xmlns:dcterms="http://purl.org/dc/terms/" xmlns:dc="http://purl.org/dc/elements/1.1/">
  <dc:creator/>
  <cp:lastModifiedBy/>
</cp:coreProperties>
</file>