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8 (Apache licensed) using ORACLE_JRE JAXB in Oracle Java 1.8.0_45 on Linux -->
    <w:p>
      <w:pPr>
        <w:pStyle w:val="Heading1"/>
        <w:spacing w:line="288" w:lineRule="auto"/>
        <w:ind/>
        <w:jc w:val="center"/>
      </w:pPr>
      <w:r>
        <w:rPr>
          <w:rFonts w:hint="eastAsia" w:ascii="微软雅黑" w:hAnsi="微软雅黑" w:eastAsia="微软雅黑"/>
          <w:b/>
          <w:noProof/>
          <w:color w:val="000000"/>
          <w:sz w:val="40"/>
        </w:rPr>
        <w:t xml:space="preserve">CTCAE V6.0更新要点解析与中文版实施指南（2026年1月1日实施）</w:t>
      </w:r>
    </w:p>
    <w:p>
      <w:pPr>
        <w:pStyle w:val="Heading3"/>
        <w:spacing w:line="288" w:lineRule="auto"/>
        <w:ind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32"/>
        </w:rPr>
        <w:t>一、版本更新背景与实施规划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美国国家癌症研究所（NCI）下属的癌症治疗评估计划（CTEP）于2025年7月22日正式发布《不良事件通用术语标准》（Common Terminology Criteria for Adverse Events, CTCAE）6.0英文版。作为全球肿瘤临床试验不良事件报告的黄金标准，该版本将在2026年1月1日起全面实施，适用于所有新启动的临床研究项目。值得注意的是，正在进行中的历史研究仍需沿用CTCAE 5.0标准，以确保研究数据的纵向可比性。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CTCAE标准自1998年首次发布以来，已历经五次重大修订。本次6.0版本的更新周期长达7年，反映了近年来肿瘤治疗领域的三方面重大变革：首先是免疫检查点抑制剂（ICI）等新型治疗手段带来的独特毒性谱系；其次是精准医学时代对不良事件分级的精细化需求；最后是电子数据采集系统（EDC）与真实世界研究（RWS）对标准化术语体系提出的新要求。这些变革共同促成了本次版本更新的深度与广度均超越历次修订。</w:t>
      </w:r>
    </w:p>
    <w:p>
      <w:pPr>
        <w:pStyle w:val="Heading3"/>
        <w:spacing w:line="288" w:lineRule="auto"/>
        <w:ind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32"/>
        </w:rPr>
        <w:t>二、术语体系的全面优化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2.1 现有术语的临床精确化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CTCAE 6.0对传统毒性条目进行了系统性修订，重点提升临床定义的精确性和分级标准的可操作性。以免疫性结肠炎为例，新版标准实现了三大突破：在分级依据方面，首次将内镜下表现（包括溃疡深度、血管缺失程度等客观指标）纳入3级分级的判定标准；在治疗响应评估方面，建立了基于时间维度的动态评价体系，要求记录激素治疗48小时内的症状变化轨迹；在难治性病例界定上，明确规定需结合粪便钙卫蛋白等生物标志物与腹部CT影像学进行综合判断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内分泌毒性分类体系同样获得显著改进。甲状腺功能异常条目现严格区分亚临床甲减（TSH升高伴FT4正常）与临床甲减（FT4降低），分别对应1级和2级不良事件。垂体炎相关标准新增"急性垂体功能减退危象"作为4级事件，并配套制定了包括紧急激素替代治疗在内的标准化处理流程。这些修订使临床医生能够更精准地捕捉器官特异性的功能损伤程度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2.2 新型治疗相关术语的纳入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随着肿瘤免疫治疗的广泛应用，CTCAE 6.0专门设立了免疫相关不良事件（irAEs）分类体系。其中最具代表性的是细胞因子释放综合征（CRS）的标准化定义，该条目根据发热程度、低血压是否需要升压药支持、以及多器官功能障碍数量等临床指标，建立了1-4级的递进式分级标准。特别值得注意的是，标准要求必须同步监测IL-6、CRP等炎症标志物的动态变化，为分级判定提供实验室依据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在呼吸系统毒性方面，免疫性肺炎条目细化为三个临床亚型：单纯影像学异常型（1级）、有症状的间质性肺炎（2-3级）以及伴纤维化改变的急性呼吸衰竭（4级）。这种分类方式不仅反映了疾病病理生理学的差异，更直接关联到不同的临床干预策略。同样具有突破性意义的是免疫性心肌炎的独立设条，该标准创新性地整合了肌钙蛋白水平、心电图异常类型（如新发房室传导阻滞）以及NYHA心功能分级等多维参数，构建了兼顾敏感性与特异性的评估矩阵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2.3 术语一致性的国际接轨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为确保全球数据可比性，CTCAE 6.0实现了与MedDRA（国际医学用语词典）28.0版本的完全映射。这种术语对齐工作涉及超过1200个首选语（PT）和250个高位语（HLT）的标准化匹配，特别是在神经毒性、皮肤毒性等复杂领域建立了交叉引用机制。例如，"免疫相关周围神经病变"现在可以精确对应到MedDRA中的"自身免疫性神经病"和"脱髓鞘性多神经病"两个独立条目，为跨国多中心研究的数据合并扫清了术语障碍。</w:t>
      </w:r>
    </w:p>
    <w:p>
      <w:pPr>
        <w:pStyle w:val="Heading3"/>
        <w:spacing w:line="288" w:lineRule="auto"/>
        <w:ind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32"/>
        </w:rPr>
        <w:t>三、临床实践适应性的提升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3.1 动态分级体系的建立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CTCAE 6.0突破了传统静态分级的局限，引入了基于时间维度的动态评估框架。以免疫性肝炎为例，新版标准要求对于基线肝功能正常的患者，必须按照ALT/AST相对于基线的升高倍数（而非绝对数值）进行分级判定。同时创新性地提出"可逆性毒性"概念，明确规定当停药后4周内肝功能恢复至≤1级时，可考虑重启免疫治疗。这种动态管理策略显著提升了标准对临床决策的指导价值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针对联合治疗方案日益普及的现状，6.0版本首创"治疗相关毒性叠加评分"机制。当免疫检查点抑制剂与化疗或靶向药物联用时，相同严重程度的毒性事件可能被上调一个等级。例如，联合方案导致的3级结肠炎将自动重定义为4级事件，这种调整更好地反映了多重治疗机制下的毒性协同效应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3.2 临床决策支持系统的强化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在治疗终止标准方面，CTCAE 6.0明确列出了必须永久停用免疫治疗的"不可逆毒性"清单，包括4级心肌炎、3级肠穿孔等11类高危事件。对于3级毒性，标准强制要求实施多学科会诊（MDT）流程，并详细规定了会诊专家组成、讨论要素和文档记录要求。这些规范有效降低了临床处理的随意性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糖皮质激素的使用方案获得前所未有的细化。标准不仅规定了泼尼松1-2 mg/kg/d的起始剂量范围，还依据不同毒性类型制定了差异化的减量策略：神经毒性建议缓慢阶梯式减量（每2周减量不超过10mg），而内分泌毒性允许快速减停。针对激素难治性病例，新增了包括抗IL-6受体单抗（托珠单抗）、抗TNF-α制剂等二线治疗的选用标准和疗效评估节点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3.3 监测体系的升级要求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高风险毒性的监测频率在6.0版本中获得显著强化。对于免疫性肺炎和心肌炎这两类致死性毒性，标准要求实施"毒性驱动型监测"策略：在毒性发生后的前两周需每周完成心肌酶谱（肌钙蛋白T/I、CK-MB）、肺功能检查（包括DLco）和心脏超声评估；当毒性降至1级后，仍需维持每2周一次的监测频率直至治疗周期结束。这种密集监测方案虽然增加了医疗负担，但为早期干预赢得了宝贵时间窗。</w:t>
      </w:r>
    </w:p>
    <w:p>
      <w:pPr>
        <w:pStyle w:val="Heading3"/>
        <w:spacing w:line="288" w:lineRule="auto"/>
        <w:ind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32"/>
        </w:rPr>
        <w:t>四、技术整合与患者报告结局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4.1 电子化数据采集的深度适配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CTCAE 6.0在技术架构上实现了与CDISC标准的全面对接，其Excel模板文件（ctcae-v6.0.xlsx）包含完整的变量命名规则、值域定义和逻辑校验规则。特别值得关注的是新增的"毒性事件关联矩阵"字段，允许研究者记录多个毒性事件之间的因果关系，这种结构化数据处理方式为后续的因果关系分析奠定了基础。标准还预留了与电子健康记录（EHR）系统对接的API接口规范，支持不良事件的自动抓取和智能编码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24"/>
        </w:rPr>
        <w:t xml:space="preserve">4.2 患者报告结局的系统整合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本次更新最大的理念转变在于将患者报告结局（PRO）正式纳入评估体系。标准新增的PRO模块包含三个维度：症状负担（采用MDASI等量表）、功能状态（通过EQ-5D评估）和治疗满意度（使用TSQM问卷）。特别针对免疫治疗相关的疲劳、认知障碍等主观症状，要求必须同时记录患者自评和医生评估结果，当两者存在≥2级差异时需启动第三方复核。这种"患者-医生双轨评估"机制显著提升了主观症状报告的可靠性。</w:t>
      </w:r>
    </w:p>
    <w:p>
      <w:pPr>
        <w:pStyle w:val="Heading3"/>
        <w:spacing w:line="288" w:lineRule="auto"/>
        <w:ind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32"/>
        </w:rPr>
        <w:t>五、实施准备与教育培训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为确保平稳过渡，NCI制定了分阶段的实施路线图：2025年第三季度将发布包括实施手册、常见问题解答（FAQ）和术语对照表在内的配套文件；第四季度开展全球范围的线上培训，内容涵盖病例模拟演练和电子填报系统操作认证。医疗机构需要特别注意，自2026年1月1日起，所有新立项的临床试验方案必须明确注明采用CTCAE 6.0标准，伦理审查时将对此进行专项核查。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教育培训体系呈现三大创新：首先是情景式学习模块，通过虚拟患者案例引导学员掌握复杂毒性的分级技巧；其次是分级认证制度，将培训考核分为基础级（适用于CRC）、专业级（面向研究者）和专家级（针对医学监查员）；最后是建立了持续教育学分系统，要求肿瘤专科医师每年完成至少4学分的CTCAE专项培训。</w:t>
      </w:r>
    </w:p>
    <w:p>
      <w:pPr>
        <w:pStyle w:val="Heading3"/>
        <w:spacing w:line="288" w:lineRule="auto"/>
        <w:ind/>
        <w:jc w:val="left"/>
      </w:pPr>
      <w:r>
        <w:rPr>
          <w:rFonts w:hint="eastAsia" w:ascii="微软雅黑" w:hAnsi="微软雅黑" w:eastAsia="微软雅黑"/>
          <w:b/>
          <w:noProof/>
          <w:color w:val="000000"/>
          <w:sz w:val="32"/>
        </w:rPr>
        <w:t>六、总结与展望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 xml:space="preserve">CTCAE 6.0的发布标志着肿瘤治疗安全性评估进入新纪元。通过构建更精确的术语体系、更灵活的临床适配方案和更完善的技术支持框架，该标准有望显著提升全球不良事件数据的质量和可比性。特别是在免疫治疗时代，其对独特毒性的标准化定义将为跨研究、跨药物的安全性比较提供不可或缺的工具。</w:t>
      </w:r>
    </w:p>
    <w:p>
      <w:pPr>
        <w:spacing w:line="288" w:lineRule="auto"/>
        <w:ind w:firstLine="480" w:firstLineChars="200"/>
        <w:jc w:val="left"/>
      </w:pPr>
      <w:r>
        <w:rPr>
          <w:rFonts w:hint="eastAsia" w:ascii="微软雅黑" w:hAnsi="微软雅黑" w:eastAsia="微软雅黑"/>
          <w:noProof/>
          <w:color w:val="000000"/>
          <w:sz w:val="24"/>
        </w:rPr>
        <w:t>展望未来，随着真实世界数据（RWD）应用的深入，CTCAE标准可能需要向动态更新机制转变。人工智能辅助的毒性识别、区块链技术保障的数据溯源、以及基于生物标志物的预测性分级，都可能成为下一版修订的重点方向。医疗机构应当把握本次版本更新的契机，重新审视现有安全性监测体系，为迎接精准肿瘤学的安全性管理挑战做好准备。</w:t>
      </w:r>
    </w:p>
    <w:sectPr>
      <w:pgSz w:w="11906" w:h="16838"/>
      <w:pgMar w:top="1440" w:right="1800" w:bottom="1440" w:left="1800" w:header="851" w:footer="992" w:gutter="0"/>
      <w:docGrid w:type="lines" w:linePitch="312"/>
    </w:sectPr>
  </w:body>
</w:document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balanceSingleByteDoubleByteWidth/>
    <w:ulTrailSpace/>
    <w:doNotExpandShiftReturn/>
    <w:compatSetting w:name="overrideTableStyleFontSizeAndJustification" w:uri="http://schemas.microsoft.com/office/word" w:val="1"/>
    <w:compatSetting w:name="compatibilityMode" w:uri="http://schemas.microsoft.com/office/word" w:val="16"/>
  </w:compat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pPr>
      <w:spacing w:before="0" w:beforeLines="0" w:after="0" w:afterLines="0" w:line="240"/>
      <w:jc w:val="both"/>
    </w:pPr>
    <w:rPr>
      <w:rFonts w:ascii="Calibri" w:hAnsi="Calibri" w:eastAsia="等线" w:cs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black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black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blac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black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Company/>
  <properties:Application/>
  <properties:AppVersion>1.1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cp:lastModifiedBy/>
</cp:coreProperties>
</file>