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A47" w:rsidRDefault="00B26A47" w:rsidP="00B26A47">
      <w:pPr>
        <w:jc w:val="center"/>
        <w:rPr>
          <w:rFonts w:ascii="微软雅黑" w:eastAsia="微软雅黑" w:hAnsi="微软雅黑" w:hint="eastAsia"/>
          <w:color w:val="1966A7"/>
          <w:sz w:val="36"/>
          <w:szCs w:val="36"/>
        </w:rPr>
      </w:pPr>
      <w:r>
        <w:rPr>
          <w:rFonts w:ascii="微软雅黑" w:eastAsia="微软雅黑" w:hAnsi="微软雅黑" w:hint="eastAsia"/>
          <w:color w:val="1966A7"/>
          <w:sz w:val="36"/>
          <w:szCs w:val="36"/>
        </w:rPr>
        <w:t>《医疗卫生机构开展研究者发起的临床研究管理办法》政策解读</w:t>
      </w:r>
    </w:p>
    <w:p w:rsidR="00B26A47" w:rsidRDefault="00B26A47" w:rsidP="00B26A47">
      <w:pPr>
        <w:jc w:val="left"/>
        <w:rPr>
          <w:rFonts w:ascii="仿宋_GB2312" w:eastAsia="仿宋_GB2312" w:hint="eastAsia"/>
          <w:b/>
          <w:bCs/>
          <w:color w:val="000000"/>
          <w:sz w:val="32"/>
          <w:szCs w:val="32"/>
        </w:rPr>
      </w:pPr>
      <w:bookmarkStart w:id="0" w:name="_GoBack"/>
      <w:bookmarkEnd w:id="0"/>
    </w:p>
    <w:p w:rsidR="00B26A47" w:rsidRDefault="00B26A47" w:rsidP="00B26A47">
      <w:pPr>
        <w:pStyle w:val="a3"/>
        <w:spacing w:before="0" w:beforeAutospacing="0" w:after="0" w:afterAutospacing="0"/>
        <w:ind w:firstLine="480"/>
        <w:jc w:val="both"/>
        <w:rPr>
          <w:color w:val="000000"/>
          <w:sz w:val="32"/>
          <w:szCs w:val="32"/>
        </w:rPr>
      </w:pPr>
      <w:r>
        <w:rPr>
          <w:rFonts w:ascii="黑体" w:eastAsia="黑体" w:hAnsi="黑体" w:hint="eastAsia"/>
          <w:color w:val="484848"/>
          <w:sz w:val="32"/>
          <w:szCs w:val="32"/>
        </w:rPr>
        <w:t>一、为什么要制定《医疗卫生机构开展研究者发起的临床研究管理办法》？</w:t>
      </w:r>
    </w:p>
    <w:p w:rsidR="00B26A47" w:rsidRDefault="00B26A47" w:rsidP="00B26A47">
      <w:pPr>
        <w:pStyle w:val="a3"/>
        <w:spacing w:before="0" w:beforeAutospacing="0" w:after="0" w:afterAutospacing="0"/>
        <w:ind w:firstLine="480"/>
        <w:jc w:val="both"/>
        <w:rPr>
          <w:rFonts w:ascii="仿宋" w:eastAsia="仿宋" w:hAnsi="仿宋" w:hint="eastAsia"/>
          <w:color w:val="000000"/>
          <w:sz w:val="32"/>
          <w:szCs w:val="32"/>
        </w:rPr>
      </w:pPr>
      <w:r>
        <w:rPr>
          <w:rFonts w:ascii="仿宋" w:eastAsia="仿宋" w:hAnsi="仿宋" w:hint="eastAsia"/>
          <w:color w:val="000000"/>
          <w:sz w:val="32"/>
          <w:szCs w:val="32"/>
        </w:rPr>
        <w:t>党中央、国务院高度重视卫生健康科研工作。为积极稳妥推进医疗卫生机构开展的研究者发起的临床研究规范管理，促进医疗卫生机构临床研究管理体系不断完善，营造包容审慎、规范有序、协同高效、利于创新的政策环境和制度环境，按照有关工作部署要求，我委研究起草了《医疗卫生机构开展研究者发起的临床研究管理办法》，于2021年在北京等4省份试行，并于2022年将试点拓展到全国12个省份。总体上看，《管理办法（试行）》在健全医疗卫生机构临床研究管理体系、加强专业力量支撑、实现信息化管理、提升临床研究质量等方面取得了积极成效。在总结前期试点工作成果和深入调研基础上，我委会同国家中医药局、</w:t>
      </w:r>
      <w:proofErr w:type="gramStart"/>
      <w:r>
        <w:rPr>
          <w:rFonts w:ascii="仿宋" w:eastAsia="仿宋" w:hAnsi="仿宋" w:hint="eastAsia"/>
          <w:color w:val="000000"/>
          <w:sz w:val="32"/>
          <w:szCs w:val="32"/>
        </w:rPr>
        <w:t>国家疾控局</w:t>
      </w:r>
      <w:proofErr w:type="gramEnd"/>
      <w:r>
        <w:rPr>
          <w:rFonts w:ascii="仿宋" w:eastAsia="仿宋" w:hAnsi="仿宋" w:hint="eastAsia"/>
          <w:color w:val="000000"/>
          <w:sz w:val="32"/>
          <w:szCs w:val="32"/>
        </w:rPr>
        <w:t>根据相关法律法规，制定了《医疗卫生机构开展研究者发起的临床研究管理办法》（以下简称《管理办法》）。</w:t>
      </w:r>
      <w:r>
        <w:rPr>
          <w:rFonts w:ascii="仿宋" w:eastAsia="仿宋" w:hAnsi="仿宋" w:hint="eastAsia"/>
          <w:color w:val="000000"/>
          <w:sz w:val="32"/>
          <w:szCs w:val="32"/>
        </w:rPr>
        <w:t> </w:t>
      </w:r>
      <w:r>
        <w:rPr>
          <w:rFonts w:ascii="仿宋" w:eastAsia="仿宋" w:hAnsi="仿宋" w:hint="eastAsia"/>
          <w:color w:val="000000"/>
          <w:sz w:val="32"/>
          <w:szCs w:val="32"/>
        </w:rPr>
        <w:t> </w:t>
      </w:r>
      <w:r>
        <w:rPr>
          <w:rFonts w:ascii="仿宋" w:eastAsia="仿宋" w:hAnsi="仿宋" w:hint="eastAsia"/>
          <w:color w:val="000000"/>
          <w:sz w:val="32"/>
          <w:szCs w:val="32"/>
        </w:rPr>
        <w:t> </w:t>
      </w:r>
    </w:p>
    <w:p w:rsidR="00B26A47" w:rsidRDefault="00B26A47" w:rsidP="00B26A47">
      <w:pPr>
        <w:pStyle w:val="a3"/>
        <w:spacing w:before="0" w:beforeAutospacing="0" w:after="0" w:afterAutospacing="0"/>
        <w:ind w:firstLine="480"/>
        <w:jc w:val="both"/>
        <w:rPr>
          <w:rFonts w:hint="eastAsia"/>
          <w:color w:val="000000"/>
          <w:sz w:val="32"/>
          <w:szCs w:val="32"/>
        </w:rPr>
      </w:pPr>
      <w:r>
        <w:rPr>
          <w:rFonts w:ascii="黑体" w:eastAsia="黑体" w:hAnsi="黑体" w:hint="eastAsia"/>
          <w:color w:val="484848"/>
          <w:sz w:val="32"/>
          <w:szCs w:val="32"/>
        </w:rPr>
        <w:t>二、《管理办法》的适用范围是什么？</w:t>
      </w:r>
      <w:r>
        <w:rPr>
          <w:rFonts w:ascii="仿宋" w:eastAsia="仿宋" w:hAnsi="仿宋" w:hint="eastAsia"/>
          <w:color w:val="484848"/>
          <w:sz w:val="32"/>
          <w:szCs w:val="32"/>
        </w:rPr>
        <w:t> </w:t>
      </w:r>
      <w:r>
        <w:rPr>
          <w:rFonts w:ascii="仿宋" w:eastAsia="仿宋" w:hAnsi="仿宋" w:hint="eastAsia"/>
          <w:color w:val="484848"/>
          <w:sz w:val="32"/>
          <w:szCs w:val="32"/>
        </w:rPr>
        <w:t> </w:t>
      </w:r>
      <w:r>
        <w:rPr>
          <w:rFonts w:ascii="仿宋" w:eastAsia="仿宋" w:hAnsi="仿宋" w:hint="eastAsia"/>
          <w:color w:val="484848"/>
          <w:sz w:val="32"/>
          <w:szCs w:val="32"/>
        </w:rPr>
        <w:t> </w:t>
      </w:r>
      <w:r>
        <w:rPr>
          <w:rFonts w:ascii="仿宋" w:eastAsia="仿宋" w:hAnsi="仿宋" w:hint="eastAsia"/>
          <w:color w:val="484848"/>
          <w:sz w:val="32"/>
          <w:szCs w:val="32"/>
        </w:rPr>
        <w:br/>
      </w:r>
    </w:p>
    <w:p w:rsidR="00B26A47" w:rsidRDefault="00B26A47" w:rsidP="00B26A47">
      <w:pPr>
        <w:pStyle w:val="a3"/>
        <w:spacing w:before="0" w:beforeAutospacing="0" w:after="0" w:afterAutospacing="0"/>
        <w:ind w:firstLine="480"/>
        <w:jc w:val="both"/>
        <w:rPr>
          <w:rFonts w:ascii="仿宋" w:eastAsia="仿宋" w:hAnsi="仿宋" w:hint="eastAsia"/>
          <w:color w:val="000000"/>
          <w:sz w:val="32"/>
          <w:szCs w:val="32"/>
        </w:rPr>
      </w:pPr>
      <w:r>
        <w:rPr>
          <w:rFonts w:ascii="仿宋" w:eastAsia="仿宋" w:hAnsi="仿宋" w:hint="eastAsia"/>
          <w:color w:val="000000"/>
          <w:sz w:val="32"/>
          <w:szCs w:val="32"/>
        </w:rPr>
        <w:t>根据《中华人民共和国药品管理法》，开展药物临床试验应当经国务院药品监管部门批准。根据《医疗器械监督管</w:t>
      </w:r>
      <w:r>
        <w:rPr>
          <w:rFonts w:ascii="仿宋" w:eastAsia="仿宋" w:hAnsi="仿宋" w:hint="eastAsia"/>
          <w:color w:val="000000"/>
          <w:sz w:val="32"/>
          <w:szCs w:val="32"/>
        </w:rPr>
        <w:lastRenderedPageBreak/>
        <w:t>理条例》，开展医疗器械临床试验，应当依法向省级药品监管部门备案；开展第三类医疗器械临床试验对人体具有较高风险的，应当经国务院药品监管部门批准。根据《药品管理法》《医疗器械监督管理管理条例》和有关法律法规精神，《管理办法》适用于医疗卫生机构开展的，以人（个体或群体）为研究对象，不以药品、医疗器械（含体外诊断试剂）等产品注册为目的，研究疾病的病因、诊断、治疗、康复、预后、预防、控制及健康维护等的活动，并在《管理办法》第二章分类细化了研究性干预措施的适用情况，明确了医疗卫生机构开展研究者发起的临床研究使用已上市药品、医疗器械的基本要求。</w:t>
      </w:r>
      <w:r>
        <w:rPr>
          <w:rFonts w:ascii="仿宋" w:eastAsia="仿宋" w:hAnsi="仿宋" w:hint="eastAsia"/>
          <w:color w:val="000000"/>
          <w:sz w:val="32"/>
          <w:szCs w:val="32"/>
        </w:rPr>
        <w:t> </w:t>
      </w:r>
      <w:r>
        <w:rPr>
          <w:rFonts w:ascii="仿宋" w:eastAsia="仿宋" w:hAnsi="仿宋" w:hint="eastAsia"/>
          <w:color w:val="000000"/>
          <w:sz w:val="32"/>
          <w:szCs w:val="32"/>
        </w:rPr>
        <w:t> </w:t>
      </w:r>
      <w:r>
        <w:rPr>
          <w:rFonts w:ascii="仿宋" w:eastAsia="仿宋" w:hAnsi="仿宋" w:hint="eastAsia"/>
          <w:color w:val="000000"/>
          <w:sz w:val="32"/>
          <w:szCs w:val="32"/>
        </w:rPr>
        <w:t> </w:t>
      </w:r>
      <w:r>
        <w:rPr>
          <w:rFonts w:ascii="仿宋" w:eastAsia="仿宋" w:hAnsi="仿宋" w:hint="eastAsia"/>
          <w:color w:val="000000"/>
          <w:sz w:val="32"/>
          <w:szCs w:val="32"/>
        </w:rPr>
        <w:t> </w:t>
      </w:r>
    </w:p>
    <w:p w:rsidR="00B26A47" w:rsidRDefault="00B26A47" w:rsidP="00B26A47">
      <w:pPr>
        <w:pStyle w:val="a3"/>
        <w:spacing w:before="0" w:beforeAutospacing="0" w:after="0" w:afterAutospacing="0"/>
        <w:ind w:firstLine="480"/>
        <w:jc w:val="both"/>
        <w:rPr>
          <w:rFonts w:hint="eastAsia"/>
          <w:color w:val="000000"/>
          <w:sz w:val="32"/>
          <w:szCs w:val="32"/>
        </w:rPr>
      </w:pPr>
      <w:r>
        <w:rPr>
          <w:rFonts w:ascii="黑体" w:eastAsia="黑体" w:hAnsi="黑体" w:hint="eastAsia"/>
          <w:color w:val="484848"/>
          <w:sz w:val="32"/>
          <w:szCs w:val="32"/>
        </w:rPr>
        <w:t>三、《管理办法》的主要内容是什么？</w:t>
      </w:r>
      <w:r>
        <w:rPr>
          <w:rFonts w:ascii="黑体" w:eastAsia="黑体" w:hAnsi="黑体" w:hint="eastAsia"/>
          <w:color w:val="484848"/>
          <w:sz w:val="32"/>
          <w:szCs w:val="32"/>
        </w:rPr>
        <w:t> </w:t>
      </w:r>
      <w:r>
        <w:rPr>
          <w:rFonts w:ascii="黑体" w:eastAsia="黑体" w:hAnsi="黑体" w:hint="eastAsia"/>
          <w:color w:val="484848"/>
          <w:sz w:val="32"/>
          <w:szCs w:val="32"/>
        </w:rPr>
        <w:t> </w:t>
      </w:r>
    </w:p>
    <w:p w:rsidR="00B26A47" w:rsidRDefault="00B26A47" w:rsidP="00B26A47">
      <w:pPr>
        <w:pStyle w:val="a3"/>
        <w:spacing w:before="0" w:beforeAutospacing="0" w:after="0" w:afterAutospacing="0"/>
        <w:jc w:val="both"/>
        <w:rPr>
          <w:rFonts w:ascii="仿宋" w:eastAsia="仿宋" w:hAnsi="仿宋" w:hint="eastAsia"/>
          <w:color w:val="000000"/>
          <w:sz w:val="32"/>
          <w:szCs w:val="32"/>
        </w:rPr>
      </w:pPr>
      <w:r>
        <w:rPr>
          <w:rFonts w:ascii="仿宋" w:eastAsia="仿宋" w:hAnsi="仿宋" w:hint="eastAsia"/>
          <w:color w:val="000000"/>
          <w:sz w:val="32"/>
          <w:szCs w:val="32"/>
        </w:rPr>
        <w:t> </w:t>
      </w:r>
      <w:r>
        <w:rPr>
          <w:rFonts w:ascii="仿宋" w:eastAsia="仿宋" w:hAnsi="仿宋" w:hint="eastAsia"/>
          <w:color w:val="000000"/>
          <w:sz w:val="32"/>
          <w:szCs w:val="32"/>
        </w:rPr>
        <w:t> </w:t>
      </w:r>
      <w:r>
        <w:rPr>
          <w:rFonts w:ascii="仿宋" w:eastAsia="仿宋" w:hAnsi="仿宋" w:hint="eastAsia"/>
          <w:color w:val="000000"/>
          <w:sz w:val="32"/>
          <w:szCs w:val="32"/>
        </w:rPr>
        <w:t> </w:t>
      </w:r>
      <w:r>
        <w:rPr>
          <w:rFonts w:ascii="仿宋" w:eastAsia="仿宋" w:hAnsi="仿宋" w:hint="eastAsia"/>
          <w:color w:val="000000"/>
          <w:sz w:val="32"/>
          <w:szCs w:val="32"/>
        </w:rPr>
        <w:t> </w:t>
      </w:r>
      <w:r>
        <w:rPr>
          <w:rFonts w:ascii="仿宋" w:eastAsia="仿宋" w:hAnsi="仿宋" w:hint="eastAsia"/>
          <w:color w:val="000000"/>
          <w:sz w:val="32"/>
          <w:szCs w:val="32"/>
        </w:rPr>
        <w:t>《管理办法》共八章四十九条，确定了适用范围，坚持机构主责，明确了临床研究科学性审查、伦理审查、机构</w:t>
      </w:r>
      <w:proofErr w:type="gramStart"/>
      <w:r>
        <w:rPr>
          <w:rFonts w:ascii="仿宋" w:eastAsia="仿宋" w:hAnsi="仿宋" w:hint="eastAsia"/>
          <w:color w:val="000000"/>
          <w:sz w:val="32"/>
          <w:szCs w:val="32"/>
        </w:rPr>
        <w:t>立结项</w:t>
      </w:r>
      <w:proofErr w:type="gramEnd"/>
      <w:r>
        <w:rPr>
          <w:rFonts w:ascii="仿宋" w:eastAsia="仿宋" w:hAnsi="仿宋" w:hint="eastAsia"/>
          <w:color w:val="000000"/>
          <w:sz w:val="32"/>
          <w:szCs w:val="32"/>
        </w:rPr>
        <w:t>、研究信息上</w:t>
      </w:r>
      <w:proofErr w:type="gramStart"/>
      <w:r>
        <w:rPr>
          <w:rFonts w:ascii="仿宋" w:eastAsia="仿宋" w:hAnsi="仿宋" w:hint="eastAsia"/>
          <w:color w:val="000000"/>
          <w:sz w:val="32"/>
          <w:szCs w:val="32"/>
        </w:rPr>
        <w:t>传公开</w:t>
      </w:r>
      <w:proofErr w:type="gramEnd"/>
      <w:r>
        <w:rPr>
          <w:rFonts w:ascii="仿宋" w:eastAsia="仿宋" w:hAnsi="仿宋" w:hint="eastAsia"/>
          <w:color w:val="000000"/>
          <w:sz w:val="32"/>
          <w:szCs w:val="32"/>
        </w:rPr>
        <w:t>等4项基本制度，将分类管理、禁止无意义重复研究、提高临床研究整体效能3个管理理念贯穿全文，确立了行政监督、技术监督相互协同的监管机制。《管理办法》明确了干细胞临床研究、体细胞临床研究等的管理要求，同时明确中医临床研究的管理规范另行规定。</w:t>
      </w:r>
      <w:r>
        <w:rPr>
          <w:rFonts w:ascii="仿宋" w:eastAsia="仿宋" w:hAnsi="仿宋" w:hint="eastAsia"/>
          <w:color w:val="000000"/>
          <w:sz w:val="32"/>
          <w:szCs w:val="32"/>
        </w:rPr>
        <w:t> </w:t>
      </w:r>
      <w:r>
        <w:rPr>
          <w:rFonts w:ascii="仿宋" w:eastAsia="仿宋" w:hAnsi="仿宋" w:hint="eastAsia"/>
          <w:color w:val="000000"/>
          <w:sz w:val="32"/>
          <w:szCs w:val="32"/>
        </w:rPr>
        <w:t> </w:t>
      </w:r>
    </w:p>
    <w:p w:rsidR="00B26A47" w:rsidRDefault="00B26A47" w:rsidP="00B26A47">
      <w:pPr>
        <w:pStyle w:val="a3"/>
        <w:spacing w:before="0" w:beforeAutospacing="0" w:after="0" w:afterAutospacing="0"/>
        <w:ind w:firstLine="480"/>
        <w:jc w:val="both"/>
        <w:rPr>
          <w:rFonts w:ascii="微软雅黑" w:eastAsia="微软雅黑" w:hAnsi="微软雅黑" w:hint="eastAsia"/>
          <w:color w:val="484848"/>
          <w:sz w:val="32"/>
          <w:szCs w:val="32"/>
        </w:rPr>
      </w:pPr>
      <w:r>
        <w:rPr>
          <w:rFonts w:ascii="黑体" w:eastAsia="黑体" w:hAnsi="黑体" w:hint="eastAsia"/>
          <w:color w:val="484848"/>
          <w:sz w:val="32"/>
          <w:szCs w:val="32"/>
        </w:rPr>
        <w:t>四、各地如何抓好《管理办法》的实施？</w:t>
      </w:r>
      <w:r>
        <w:rPr>
          <w:rFonts w:ascii="仿宋" w:eastAsia="仿宋" w:hAnsi="仿宋" w:hint="eastAsia"/>
          <w:color w:val="484848"/>
          <w:sz w:val="32"/>
          <w:szCs w:val="32"/>
        </w:rPr>
        <w:t> </w:t>
      </w:r>
      <w:r>
        <w:rPr>
          <w:rFonts w:ascii="仿宋" w:eastAsia="仿宋" w:hAnsi="仿宋" w:hint="eastAsia"/>
          <w:color w:val="484848"/>
          <w:sz w:val="32"/>
          <w:szCs w:val="32"/>
        </w:rPr>
        <w:t> </w:t>
      </w:r>
      <w:r>
        <w:rPr>
          <w:rFonts w:ascii="仿宋" w:eastAsia="仿宋" w:hAnsi="仿宋" w:hint="eastAsia"/>
          <w:color w:val="484848"/>
          <w:sz w:val="32"/>
          <w:szCs w:val="32"/>
        </w:rPr>
        <w:t> </w:t>
      </w:r>
    </w:p>
    <w:p w:rsidR="00B26A47" w:rsidRDefault="00B26A47" w:rsidP="00B26A47">
      <w:pPr>
        <w:pStyle w:val="a3"/>
        <w:spacing w:before="0" w:beforeAutospacing="0" w:after="0" w:afterAutospacing="0"/>
        <w:ind w:firstLine="480"/>
        <w:jc w:val="both"/>
        <w:rPr>
          <w:rFonts w:ascii="微软雅黑" w:eastAsia="微软雅黑" w:hAnsi="微软雅黑" w:hint="eastAsia"/>
          <w:color w:val="484848"/>
          <w:sz w:val="32"/>
          <w:szCs w:val="32"/>
        </w:rPr>
      </w:pPr>
      <w:r>
        <w:rPr>
          <w:rFonts w:ascii="仿宋" w:eastAsia="仿宋" w:hAnsi="仿宋" w:hint="eastAsia"/>
          <w:color w:val="484848"/>
          <w:sz w:val="32"/>
          <w:szCs w:val="32"/>
        </w:rPr>
        <w:t>各地要充分认识临床研究规范管理的重要意义，加强组织领导，健全工作机制，加强监测评价，强化与其他地区卫</w:t>
      </w:r>
      <w:r>
        <w:rPr>
          <w:rFonts w:ascii="仿宋" w:eastAsia="仿宋" w:hAnsi="仿宋" w:hint="eastAsia"/>
          <w:color w:val="484848"/>
          <w:sz w:val="32"/>
          <w:szCs w:val="32"/>
        </w:rPr>
        <w:lastRenderedPageBreak/>
        <w:t>生行政部门的协同。</w:t>
      </w:r>
      <w:r>
        <w:rPr>
          <w:rFonts w:ascii="仿宋" w:eastAsia="仿宋" w:hAnsi="仿宋" w:hint="eastAsia"/>
          <w:b/>
          <w:bCs/>
          <w:color w:val="484848"/>
          <w:sz w:val="32"/>
          <w:szCs w:val="32"/>
        </w:rPr>
        <w:t>一是</w:t>
      </w:r>
      <w:r>
        <w:rPr>
          <w:rFonts w:ascii="仿宋" w:eastAsia="仿宋" w:hAnsi="仿宋" w:hint="eastAsia"/>
          <w:color w:val="484848"/>
          <w:sz w:val="32"/>
          <w:szCs w:val="32"/>
        </w:rPr>
        <w:t>建立省级技术和行政监督管理体系。遴选专业机构或者设立专家委员会，依托国家医学研究登记备案信息系统，对医疗卫生机构开展的临床研究开展监测评估和技术指导，及时发现问题，提出改进建议。</w:t>
      </w:r>
      <w:r>
        <w:rPr>
          <w:rFonts w:ascii="仿宋" w:eastAsia="仿宋" w:hAnsi="仿宋" w:hint="eastAsia"/>
          <w:b/>
          <w:bCs/>
          <w:color w:val="484848"/>
          <w:sz w:val="32"/>
          <w:szCs w:val="32"/>
        </w:rPr>
        <w:t>二是</w:t>
      </w:r>
      <w:r>
        <w:rPr>
          <w:rFonts w:ascii="仿宋" w:eastAsia="仿宋" w:hAnsi="仿宋" w:hint="eastAsia"/>
          <w:color w:val="484848"/>
          <w:sz w:val="32"/>
          <w:szCs w:val="32"/>
        </w:rPr>
        <w:t>加强对技术监督机构的指导和协同，强化对医疗卫生机构及其临床研究管理的监督检查，及时纠正医疗卫生机构和临床研究中的问题，监督机构落实主体责任。</w:t>
      </w:r>
      <w:r>
        <w:rPr>
          <w:rFonts w:ascii="仿宋" w:eastAsia="仿宋" w:hAnsi="仿宋" w:hint="eastAsia"/>
          <w:b/>
          <w:bCs/>
          <w:color w:val="484848"/>
          <w:sz w:val="32"/>
          <w:szCs w:val="32"/>
        </w:rPr>
        <w:t>三是</w:t>
      </w:r>
      <w:r>
        <w:rPr>
          <w:rFonts w:ascii="仿宋" w:eastAsia="仿宋" w:hAnsi="仿宋" w:hint="eastAsia"/>
          <w:color w:val="484848"/>
          <w:sz w:val="32"/>
          <w:szCs w:val="32"/>
        </w:rPr>
        <w:t>指导专业机构、专家委员会提高敏感性，对涉及新技术、新产品等的临床研究，要及早介入、提出意见，指导临床研究规范开展。</w:t>
      </w:r>
      <w:r>
        <w:rPr>
          <w:rFonts w:ascii="仿宋" w:eastAsia="仿宋" w:hAnsi="仿宋" w:hint="eastAsia"/>
          <w:b/>
          <w:bCs/>
          <w:color w:val="484848"/>
          <w:sz w:val="32"/>
          <w:szCs w:val="32"/>
        </w:rPr>
        <w:t>四是</w:t>
      </w:r>
      <w:r>
        <w:rPr>
          <w:rFonts w:ascii="仿宋" w:eastAsia="仿宋" w:hAnsi="仿宋" w:hint="eastAsia"/>
          <w:color w:val="484848"/>
          <w:sz w:val="32"/>
          <w:szCs w:val="32"/>
        </w:rPr>
        <w:t>指导医疗卫生机构建立健全科学性审查、伦理审查、立（结）项和信息披露制度，完善内部管理运行。</w:t>
      </w:r>
      <w:r>
        <w:rPr>
          <w:rFonts w:ascii="仿宋" w:eastAsia="仿宋" w:hAnsi="仿宋" w:hint="eastAsia"/>
          <w:b/>
          <w:bCs/>
          <w:color w:val="484848"/>
          <w:sz w:val="32"/>
          <w:szCs w:val="32"/>
        </w:rPr>
        <w:t>五是</w:t>
      </w:r>
      <w:r>
        <w:rPr>
          <w:rFonts w:ascii="仿宋" w:eastAsia="仿宋" w:hAnsi="仿宋" w:hint="eastAsia"/>
          <w:color w:val="484848"/>
          <w:sz w:val="32"/>
          <w:szCs w:val="32"/>
        </w:rPr>
        <w:t>要充分发挥专业机构、专家委员会的服务和支撑作用，组织开展临床研究及管理培训，加强与院校医学教育和毕业后医学教育协同，不断提高研究者能力和水平。</w:t>
      </w:r>
      <w:r>
        <w:rPr>
          <w:rFonts w:ascii="仿宋" w:eastAsia="仿宋" w:hAnsi="仿宋" w:hint="eastAsia"/>
          <w:b/>
          <w:bCs/>
          <w:color w:val="484848"/>
          <w:sz w:val="32"/>
          <w:szCs w:val="32"/>
        </w:rPr>
        <w:t>六是</w:t>
      </w:r>
      <w:r>
        <w:rPr>
          <w:rFonts w:ascii="仿宋" w:eastAsia="仿宋" w:hAnsi="仿宋" w:hint="eastAsia"/>
          <w:color w:val="484848"/>
          <w:sz w:val="32"/>
          <w:szCs w:val="32"/>
        </w:rPr>
        <w:t>鼓励各地加大投入，探索设立临床研究专项资金，支持开展高水平临床研究，建立临床研究资助与规范管理的协同机制。</w:t>
      </w:r>
      <w:r>
        <w:rPr>
          <w:rFonts w:ascii="仿宋" w:eastAsia="仿宋" w:hAnsi="仿宋" w:hint="eastAsia"/>
          <w:color w:val="484848"/>
          <w:sz w:val="32"/>
          <w:szCs w:val="32"/>
        </w:rPr>
        <w:t> </w:t>
      </w:r>
      <w:r>
        <w:rPr>
          <w:rFonts w:ascii="仿宋" w:eastAsia="仿宋" w:hAnsi="仿宋" w:hint="eastAsia"/>
          <w:color w:val="484848"/>
          <w:sz w:val="32"/>
          <w:szCs w:val="32"/>
        </w:rPr>
        <w:t> </w:t>
      </w:r>
      <w:r>
        <w:rPr>
          <w:rFonts w:ascii="仿宋" w:eastAsia="仿宋" w:hAnsi="仿宋" w:hint="eastAsia"/>
          <w:color w:val="484848"/>
          <w:sz w:val="32"/>
          <w:szCs w:val="32"/>
        </w:rPr>
        <w:t> </w:t>
      </w:r>
    </w:p>
    <w:p w:rsidR="00B26A47" w:rsidRDefault="00B26A47" w:rsidP="00B26A47">
      <w:pPr>
        <w:pStyle w:val="a3"/>
        <w:spacing w:before="0" w:beforeAutospacing="0" w:after="0" w:afterAutospacing="0"/>
        <w:ind w:firstLine="480"/>
        <w:jc w:val="both"/>
        <w:rPr>
          <w:rFonts w:ascii="微软雅黑" w:eastAsia="微软雅黑" w:hAnsi="微软雅黑" w:hint="eastAsia"/>
          <w:color w:val="484848"/>
          <w:sz w:val="32"/>
          <w:szCs w:val="32"/>
        </w:rPr>
      </w:pPr>
      <w:r>
        <w:rPr>
          <w:rFonts w:ascii="黑体" w:eastAsia="黑体" w:hAnsi="黑体" w:hint="eastAsia"/>
          <w:color w:val="484848"/>
          <w:sz w:val="32"/>
          <w:szCs w:val="32"/>
        </w:rPr>
        <w:t>五、医疗卫生机构如何落实《管理办法》的要求？</w:t>
      </w:r>
      <w:r>
        <w:rPr>
          <w:rFonts w:ascii="黑体" w:eastAsia="黑体" w:hAnsi="黑体" w:hint="eastAsia"/>
          <w:color w:val="484848"/>
          <w:sz w:val="32"/>
          <w:szCs w:val="32"/>
        </w:rPr>
        <w:t> </w:t>
      </w:r>
      <w:r>
        <w:rPr>
          <w:rFonts w:ascii="仿宋" w:eastAsia="仿宋" w:hAnsi="仿宋" w:hint="eastAsia"/>
          <w:color w:val="484848"/>
          <w:sz w:val="32"/>
          <w:szCs w:val="32"/>
        </w:rPr>
        <w:t> </w:t>
      </w:r>
      <w:r>
        <w:rPr>
          <w:rFonts w:ascii="仿宋" w:eastAsia="仿宋" w:hAnsi="仿宋" w:hint="eastAsia"/>
          <w:color w:val="484848"/>
          <w:sz w:val="32"/>
          <w:szCs w:val="32"/>
        </w:rPr>
        <w:t> </w:t>
      </w:r>
    </w:p>
    <w:p w:rsidR="00B26A47" w:rsidRDefault="00B26A47" w:rsidP="00B26A47">
      <w:pPr>
        <w:pStyle w:val="a3"/>
        <w:spacing w:before="0" w:beforeAutospacing="0" w:after="0" w:afterAutospacing="0"/>
        <w:ind w:firstLine="480"/>
        <w:jc w:val="both"/>
        <w:rPr>
          <w:rFonts w:ascii="仿宋" w:eastAsia="仿宋" w:hAnsi="仿宋" w:hint="eastAsia"/>
          <w:color w:val="484848"/>
          <w:sz w:val="32"/>
          <w:szCs w:val="32"/>
        </w:rPr>
      </w:pPr>
      <w:r>
        <w:rPr>
          <w:rFonts w:ascii="仿宋" w:eastAsia="仿宋" w:hAnsi="仿宋" w:hint="eastAsia"/>
          <w:b/>
          <w:bCs/>
          <w:color w:val="484848"/>
          <w:sz w:val="32"/>
          <w:szCs w:val="32"/>
        </w:rPr>
        <w:t>一是</w:t>
      </w:r>
      <w:r>
        <w:rPr>
          <w:rFonts w:ascii="仿宋" w:eastAsia="仿宋" w:hAnsi="仿宋" w:hint="eastAsia"/>
          <w:color w:val="484848"/>
          <w:sz w:val="32"/>
          <w:szCs w:val="32"/>
        </w:rPr>
        <w:t>要建立健全临床研究内部管理体系。明确负责临床研究管理的部门、健全伦理（审查）委员会和临床研究管理委员会，规范开展科学性审查、伦理审查，及时在国家医学研究登记备案信息系统上传信息，及时处理临床研究中存在的问题。</w:t>
      </w:r>
      <w:r>
        <w:rPr>
          <w:rFonts w:ascii="仿宋" w:eastAsia="仿宋" w:hAnsi="仿宋" w:hint="eastAsia"/>
          <w:b/>
          <w:bCs/>
          <w:color w:val="484848"/>
          <w:sz w:val="32"/>
          <w:szCs w:val="32"/>
        </w:rPr>
        <w:t>二是</w:t>
      </w:r>
      <w:r>
        <w:rPr>
          <w:rFonts w:ascii="仿宋" w:eastAsia="仿宋" w:hAnsi="仿宋" w:hint="eastAsia"/>
          <w:color w:val="484848"/>
          <w:sz w:val="32"/>
          <w:szCs w:val="32"/>
        </w:rPr>
        <w:t>强化责任意识、风险意识，完善临床研究组织</w:t>
      </w:r>
      <w:r>
        <w:rPr>
          <w:rFonts w:ascii="仿宋" w:eastAsia="仿宋" w:hAnsi="仿宋" w:hint="eastAsia"/>
          <w:color w:val="484848"/>
          <w:sz w:val="32"/>
          <w:szCs w:val="32"/>
        </w:rPr>
        <w:lastRenderedPageBreak/>
        <w:t>体系、质量控制体系、研究对象保护机制、利益冲突防范机制等建设。加强分类管理，避免无意义的重复研究。</w:t>
      </w:r>
      <w:r>
        <w:rPr>
          <w:rFonts w:ascii="仿宋" w:eastAsia="仿宋" w:hAnsi="仿宋" w:hint="eastAsia"/>
          <w:b/>
          <w:bCs/>
          <w:color w:val="484848"/>
          <w:sz w:val="32"/>
          <w:szCs w:val="32"/>
        </w:rPr>
        <w:t>三是</w:t>
      </w:r>
      <w:r>
        <w:rPr>
          <w:rFonts w:ascii="仿宋" w:eastAsia="仿宋" w:hAnsi="仿宋" w:hint="eastAsia"/>
          <w:color w:val="484848"/>
          <w:sz w:val="32"/>
          <w:szCs w:val="32"/>
        </w:rPr>
        <w:t>要改进内部管理服务，结合实际，组织开展或者支持研究者参加临床研究培训，同时发挥好教育指导和服务支撑功能，帮助引导研究者提高研究质量。</w:t>
      </w:r>
      <w:r>
        <w:rPr>
          <w:rFonts w:ascii="仿宋" w:eastAsia="仿宋" w:hAnsi="仿宋" w:hint="eastAsia"/>
          <w:b/>
          <w:bCs/>
          <w:color w:val="484848"/>
          <w:sz w:val="32"/>
          <w:szCs w:val="32"/>
        </w:rPr>
        <w:t>四是</w:t>
      </w:r>
      <w:r>
        <w:rPr>
          <w:rFonts w:ascii="仿宋" w:eastAsia="仿宋" w:hAnsi="仿宋" w:hint="eastAsia"/>
          <w:color w:val="484848"/>
          <w:sz w:val="32"/>
          <w:szCs w:val="32"/>
        </w:rPr>
        <w:t>积极加大投入，探索设立临床研究专项资金，加强对高水平临床研究的支持。</w:t>
      </w:r>
      <w:r>
        <w:rPr>
          <w:rFonts w:ascii="仿宋" w:eastAsia="仿宋" w:hAnsi="仿宋" w:hint="eastAsia"/>
          <w:b/>
          <w:bCs/>
          <w:color w:val="484848"/>
          <w:sz w:val="32"/>
          <w:szCs w:val="32"/>
        </w:rPr>
        <w:t>同时</w:t>
      </w:r>
      <w:r>
        <w:rPr>
          <w:rFonts w:ascii="仿宋" w:eastAsia="仿宋" w:hAnsi="仿宋" w:hint="eastAsia"/>
          <w:color w:val="484848"/>
          <w:sz w:val="32"/>
          <w:szCs w:val="32"/>
        </w:rPr>
        <w:t>，有条件的医疗卫生机构还要探索建立统一的临床研究管理服务平台，加强与基础研究平台的协同，为临床研究提供方法</w:t>
      </w:r>
      <w:proofErr w:type="gramStart"/>
      <w:r>
        <w:rPr>
          <w:rFonts w:ascii="仿宋" w:eastAsia="仿宋" w:hAnsi="仿宋" w:hint="eastAsia"/>
          <w:color w:val="484848"/>
          <w:sz w:val="32"/>
          <w:szCs w:val="32"/>
        </w:rPr>
        <w:t>学指导</w:t>
      </w:r>
      <w:proofErr w:type="gramEnd"/>
      <w:r>
        <w:rPr>
          <w:rFonts w:ascii="仿宋" w:eastAsia="仿宋" w:hAnsi="仿宋" w:hint="eastAsia"/>
          <w:color w:val="484848"/>
          <w:sz w:val="32"/>
          <w:szCs w:val="32"/>
        </w:rPr>
        <w:t>和生物样本、临床研究随访管理、数据存储分析等专业支撑。</w:t>
      </w:r>
    </w:p>
    <w:p w:rsidR="00B26A47" w:rsidRPr="00B26A47" w:rsidRDefault="00B26A47" w:rsidP="00B26A47">
      <w:pPr>
        <w:jc w:val="left"/>
      </w:pPr>
    </w:p>
    <w:sectPr w:rsidR="00B26A47" w:rsidRPr="00B26A4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E1D"/>
    <w:rsid w:val="00554C72"/>
    <w:rsid w:val="00B26A47"/>
    <w:rsid w:val="00C25E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6A47"/>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6A4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06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273</Words>
  <Characters>1560</Characters>
  <Application>Microsoft Office Word</Application>
  <DocSecurity>0</DocSecurity>
  <Lines>13</Lines>
  <Paragraphs>3</Paragraphs>
  <ScaleCrop>false</ScaleCrop>
  <Company/>
  <LinksUpToDate>false</LinksUpToDate>
  <CharactersWithSpaces>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寿晓玲</dc:creator>
  <cp:keywords/>
  <dc:description/>
  <cp:lastModifiedBy>寿晓玲</cp:lastModifiedBy>
  <cp:revision>2</cp:revision>
  <dcterms:created xsi:type="dcterms:W3CDTF">2026-03-25T07:05:00Z</dcterms:created>
  <dcterms:modified xsi:type="dcterms:W3CDTF">2026-03-25T07:06:00Z</dcterms:modified>
</cp:coreProperties>
</file>