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F5637B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件1</w:t>
      </w:r>
    </w:p>
    <w:p w14:paraId="34F65A7F">
      <w:pPr>
        <w:jc w:val="center"/>
        <w:rPr>
          <w:rStyle w:val="6"/>
          <w:rFonts w:ascii="方正小标宋简体" w:eastAsia="方正小标宋简体"/>
          <w:b w:val="0"/>
          <w:bCs w:val="0"/>
          <w:color w:val="000000"/>
          <w:sz w:val="36"/>
          <w:szCs w:val="36"/>
        </w:rPr>
      </w:pPr>
      <w:r>
        <w:rPr>
          <w:rStyle w:val="6"/>
          <w:rFonts w:hint="eastAsia" w:ascii="方正小标宋简体" w:eastAsia="方正小标宋简体"/>
          <w:b w:val="0"/>
          <w:bCs w:val="0"/>
          <w:color w:val="000000"/>
          <w:sz w:val="36"/>
          <w:szCs w:val="36"/>
        </w:rPr>
        <w:t>2025年度浙江省中医药科学技术奖</w:t>
      </w:r>
      <w:r>
        <w:rPr>
          <w:rStyle w:val="6"/>
          <w:rFonts w:ascii="方正小标宋简体" w:eastAsia="方正小标宋简体"/>
          <w:b w:val="0"/>
          <w:bCs w:val="0"/>
          <w:color w:val="000000"/>
          <w:sz w:val="36"/>
          <w:szCs w:val="36"/>
        </w:rPr>
        <w:t>公示信息表</w:t>
      </w:r>
    </w:p>
    <w:p w14:paraId="69FA9ACB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推荐奖项：应用研究</w:t>
      </w:r>
    </w:p>
    <w:tbl>
      <w:tblPr>
        <w:tblStyle w:val="4"/>
        <w:tblW w:w="8506" w:type="dxa"/>
        <w:tblInd w:w="-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9"/>
        <w:gridCol w:w="6237"/>
      </w:tblGrid>
      <w:tr w14:paraId="06DBF1F0">
        <w:trPr>
          <w:trHeight w:val="647" w:hRule="atLeast"/>
        </w:trPr>
        <w:tc>
          <w:tcPr>
            <w:tcW w:w="2269" w:type="dxa"/>
            <w:vAlign w:val="center"/>
          </w:tcPr>
          <w:p w14:paraId="4E1143B9">
            <w:pPr>
              <w:jc w:val="center"/>
              <w:rPr>
                <w:rFonts w:eastAsia="仿宋_GB2312"/>
                <w:sz w:val="28"/>
                <w:szCs w:val="20"/>
              </w:rPr>
            </w:pPr>
            <w:r>
              <w:rPr>
                <w:rFonts w:eastAsia="仿宋_GB2312"/>
                <w:sz w:val="28"/>
                <w:szCs w:val="24"/>
              </w:rPr>
              <w:t>成果名称</w:t>
            </w:r>
          </w:p>
        </w:tc>
        <w:tc>
          <w:tcPr>
            <w:tcW w:w="6237" w:type="dxa"/>
            <w:vAlign w:val="center"/>
          </w:tcPr>
          <w:p w14:paraId="075FF238">
            <w:pPr>
              <w:jc w:val="center"/>
              <w:rPr>
                <w:rFonts w:eastAsia="仿宋_GB2312"/>
                <w:sz w:val="28"/>
                <w:szCs w:val="20"/>
              </w:rPr>
            </w:pPr>
            <w:r>
              <w:rPr>
                <w:rFonts w:hint="eastAsia" w:ascii="宋体" w:hAnsi="宋体" w:eastAsia="宋体" w:cs="宋体"/>
                <w:sz w:val="28"/>
                <w:szCs w:val="20"/>
              </w:rPr>
              <w:t>传承名老中医“痰瘀同治方”的胶囊创制、科学内涵与转化应用</w:t>
            </w:r>
          </w:p>
        </w:tc>
      </w:tr>
      <w:tr w14:paraId="76C8E9B6">
        <w:trPr>
          <w:trHeight w:val="561" w:hRule="atLeast"/>
        </w:trPr>
        <w:tc>
          <w:tcPr>
            <w:tcW w:w="2269" w:type="dxa"/>
            <w:vAlign w:val="center"/>
          </w:tcPr>
          <w:p w14:paraId="3EDD4261">
            <w:pPr>
              <w:jc w:val="center"/>
              <w:rPr>
                <w:rFonts w:eastAsia="仿宋_GB2312"/>
                <w:sz w:val="28"/>
                <w:szCs w:val="20"/>
              </w:rPr>
            </w:pPr>
            <w:r>
              <w:rPr>
                <w:rFonts w:hint="eastAsia" w:eastAsia="仿宋_GB2312"/>
                <w:sz w:val="28"/>
                <w:szCs w:val="24"/>
              </w:rPr>
              <w:t>推荐</w:t>
            </w:r>
            <w:r>
              <w:rPr>
                <w:rFonts w:eastAsia="仿宋_GB2312"/>
                <w:sz w:val="28"/>
                <w:szCs w:val="24"/>
              </w:rPr>
              <w:t>等级</w:t>
            </w:r>
          </w:p>
        </w:tc>
        <w:tc>
          <w:tcPr>
            <w:tcW w:w="6237" w:type="dxa"/>
            <w:vAlign w:val="center"/>
          </w:tcPr>
          <w:p w14:paraId="494853F0">
            <w:pPr>
              <w:jc w:val="center"/>
              <w:rPr>
                <w:rFonts w:eastAsia="仿宋_GB2312"/>
                <w:sz w:val="28"/>
                <w:szCs w:val="20"/>
              </w:rPr>
            </w:pPr>
            <w:r>
              <w:rPr>
                <w:rFonts w:hint="eastAsia" w:ascii="宋体" w:hAnsi="宋体" w:eastAsia="宋体" w:cs="宋体"/>
                <w:sz w:val="28"/>
                <w:szCs w:val="20"/>
              </w:rPr>
              <w:t>一等奖</w:t>
            </w:r>
          </w:p>
        </w:tc>
      </w:tr>
      <w:tr w14:paraId="41CF88BD">
        <w:trPr>
          <w:trHeight w:val="2461" w:hRule="atLeast"/>
        </w:trPr>
        <w:tc>
          <w:tcPr>
            <w:tcW w:w="2269" w:type="dxa"/>
            <w:vAlign w:val="center"/>
          </w:tcPr>
          <w:p w14:paraId="14BAEEEB">
            <w:pPr>
              <w:spacing w:line="440" w:lineRule="exact"/>
              <w:jc w:val="center"/>
              <w:rPr>
                <w:rFonts w:eastAsia="仿宋_GB2312"/>
                <w:bCs/>
                <w:color w:val="auto"/>
                <w:sz w:val="28"/>
                <w:szCs w:val="24"/>
              </w:rPr>
            </w:pPr>
            <w:r>
              <w:rPr>
                <w:rFonts w:hint="eastAsia" w:eastAsia="仿宋_GB2312"/>
                <w:bCs/>
                <w:color w:val="auto"/>
                <w:sz w:val="28"/>
                <w:szCs w:val="24"/>
              </w:rPr>
              <w:t>推荐</w:t>
            </w:r>
            <w:r>
              <w:rPr>
                <w:rFonts w:eastAsia="仿宋_GB2312"/>
                <w:bCs/>
                <w:color w:val="auto"/>
                <w:sz w:val="28"/>
                <w:szCs w:val="24"/>
              </w:rPr>
              <w:t>书</w:t>
            </w:r>
          </w:p>
          <w:p w14:paraId="626C7454">
            <w:pPr>
              <w:spacing w:line="440" w:lineRule="exact"/>
              <w:jc w:val="center"/>
              <w:rPr>
                <w:rFonts w:eastAsia="仿宋_GB2312"/>
                <w:bCs/>
                <w:color w:val="auto"/>
                <w:sz w:val="28"/>
                <w:szCs w:val="24"/>
              </w:rPr>
            </w:pPr>
            <w:r>
              <w:rPr>
                <w:rFonts w:eastAsia="仿宋_GB2312"/>
                <w:bCs/>
                <w:color w:val="auto"/>
                <w:sz w:val="28"/>
                <w:szCs w:val="24"/>
              </w:rPr>
              <w:t>相关内容</w:t>
            </w:r>
          </w:p>
        </w:tc>
        <w:tc>
          <w:tcPr>
            <w:tcW w:w="6237" w:type="dxa"/>
            <w:vAlign w:val="center"/>
          </w:tcPr>
          <w:p w14:paraId="75B794E0">
            <w:pPr>
              <w:numPr>
                <w:ilvl w:val="0"/>
                <w:numId w:val="1"/>
              </w:numPr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Cs w:val="21"/>
              </w:rPr>
              <w:t>毛威</w:t>
            </w:r>
            <w:r>
              <w:rPr>
                <w:rFonts w:hint="eastAsia" w:ascii="宋体" w:hAnsi="宋体" w:eastAsia="宋体" w:cs="宋体"/>
                <w:bCs/>
                <w:color w:val="auto"/>
                <w:szCs w:val="21"/>
              </w:rPr>
              <w:t>，王坤根，</w:t>
            </w:r>
            <w:r>
              <w:rPr>
                <w:rFonts w:hint="eastAsia" w:ascii="宋体" w:hAnsi="宋体" w:eastAsia="宋体" w:cs="宋体"/>
                <w:b/>
                <w:color w:val="auto"/>
                <w:szCs w:val="21"/>
              </w:rPr>
              <w:t>戴金</w:t>
            </w:r>
            <w:r>
              <w:rPr>
                <w:rFonts w:hint="eastAsia" w:ascii="宋体" w:hAnsi="宋体" w:eastAsia="宋体" w:cs="宋体"/>
                <w:bCs/>
                <w:color w:val="auto"/>
                <w:szCs w:val="21"/>
              </w:rPr>
              <w:t>，陈洁，黄兆铨，刘强，</w:t>
            </w:r>
            <w:r>
              <w:rPr>
                <w:rFonts w:hint="eastAsia" w:ascii="宋体" w:hAnsi="宋体" w:eastAsia="宋体" w:cs="宋体"/>
                <w:b/>
                <w:color w:val="auto"/>
                <w:szCs w:val="21"/>
              </w:rPr>
              <w:t>周鑫斌</w:t>
            </w:r>
            <w:r>
              <w:rPr>
                <w:rFonts w:hint="eastAsia" w:ascii="宋体" w:hAnsi="宋体" w:eastAsia="宋体" w:cs="宋体"/>
                <w:bCs/>
                <w:color w:val="auto"/>
                <w:szCs w:val="21"/>
              </w:rPr>
              <w:t>， 痰瘀同治颗粒及其服用方法, 20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Cs/>
                <w:color w:val="auto"/>
                <w:szCs w:val="21"/>
              </w:rPr>
              <w:t>19-12-31, 中国, ZL201610093258.X；</w:t>
            </w:r>
          </w:p>
          <w:p w14:paraId="1ED757D4">
            <w:pPr>
              <w:numPr>
                <w:ilvl w:val="0"/>
                <w:numId w:val="1"/>
              </w:numPr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Cs w:val="21"/>
              </w:rPr>
              <w:t>毛威</w:t>
            </w:r>
            <w:r>
              <w:rPr>
                <w:rFonts w:hint="eastAsia" w:ascii="宋体" w:hAnsi="宋体" w:eastAsia="宋体" w:cs="宋体"/>
                <w:bCs/>
                <w:color w:val="auto"/>
                <w:szCs w:val="21"/>
              </w:rPr>
              <w:t>，黄琦，吕宾；《浙江省中医（中西医结合）单病种诊疗规范（第二版）》，2018；</w:t>
            </w:r>
          </w:p>
          <w:p w14:paraId="46511CA2">
            <w:pPr>
              <w:numPr>
                <w:ilvl w:val="0"/>
                <w:numId w:val="1"/>
              </w:numPr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Cs w:val="21"/>
              </w:rPr>
              <w:t>痰瘀同治胶囊制备工艺和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质量标准；</w:t>
            </w:r>
          </w:p>
          <w:p w14:paraId="30C44AAB">
            <w:pPr>
              <w:numPr>
                <w:ilvl w:val="0"/>
                <w:numId w:val="1"/>
              </w:numPr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Cs w:val="21"/>
              </w:rPr>
              <w:t>Jin Dai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 xml:space="preserve">, Pu Fang, Jason Saredy, Hang Xi, Cueto Ramon, William Yang, Eric T Choi, Yong Ji, 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Cs w:val="21"/>
              </w:rPr>
              <w:t>Wei Mao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 xml:space="preserve">, Xiaofeng Yang, Hong Wang. (2017). Metabolism-associated danger signal-induced immune response and reverse immune checkpoint-activated CD40(+) monocyte differentiation. J Hematol Oncol, 10(1), 141. </w:t>
            </w:r>
          </w:p>
          <w:p w14:paraId="75715776">
            <w:pPr>
              <w:numPr>
                <w:ilvl w:val="0"/>
                <w:numId w:val="1"/>
              </w:numPr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Cs w:val="21"/>
              </w:rPr>
              <w:t>Chenxia Wu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 xml:space="preserve">, Peiyao Zheng, Lan Ma, Chen Xu, Luoxia Hu, Zhiyi Yang, Fan Fei, Zhuxia Shen, Xue Zhang, Ziheng Wu, Hongqiang Cheng, 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Cs w:val="21"/>
              </w:rPr>
              <w:t>Wei Mao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, Yuehai Ke. (2023). Protein Tyrosine Phosphatase SHP2 in Macrophages Acts as an Antiatherosclerotic Regulator in Mice. Arterioscler Thromb Vasc Biol, 44(1), 202-217.</w:t>
            </w:r>
          </w:p>
          <w:p w14:paraId="183545CD">
            <w:pPr>
              <w:numPr>
                <w:ilvl w:val="0"/>
                <w:numId w:val="1"/>
              </w:numPr>
              <w:spacing w:line="440" w:lineRule="exact"/>
              <w:jc w:val="left"/>
              <w:rPr>
                <w:rFonts w:hint="eastAsia" w:ascii="宋体" w:hAnsi="宋体" w:eastAsia="宋体" w:cs="宋体"/>
                <w:bCs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Cs w:val="21"/>
              </w:rPr>
              <w:t xml:space="preserve">Liye Shen, Jinlong Wang, </w:t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szCs w:val="21"/>
              </w:rPr>
              <w:t>Yongming Pan</w:t>
            </w:r>
            <w:r>
              <w:rPr>
                <w:rFonts w:hint="eastAsia" w:ascii="宋体" w:hAnsi="宋体" w:eastAsia="宋体" w:cs="宋体"/>
                <w:bCs/>
                <w:color w:val="auto"/>
                <w:szCs w:val="21"/>
              </w:rPr>
              <w:t xml:space="preserve">, Junjie Huang, Keyan Zhu, Haiye Tu and </w:t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szCs w:val="21"/>
              </w:rPr>
              <w:t>Minli Chen</w:t>
            </w:r>
            <w:r>
              <w:rPr>
                <w:rFonts w:hint="eastAsia" w:ascii="宋体" w:hAnsi="宋体" w:eastAsia="宋体" w:cs="宋体"/>
                <w:bCs/>
                <w:color w:val="auto"/>
                <w:szCs w:val="21"/>
              </w:rPr>
              <w:t xml:space="preserve">.Characteristics of Metabolites in the Development of Atherosclerosis in Tibetan Minipigs Determined Using Untargeted Metabolomics. Nutrients 2023, 15, 4425. </w:t>
            </w:r>
          </w:p>
          <w:p w14:paraId="4EC38DBB">
            <w:pPr>
              <w:numPr>
                <w:ilvl w:val="0"/>
                <w:numId w:val="1"/>
              </w:numPr>
              <w:spacing w:line="440" w:lineRule="exact"/>
              <w:jc w:val="left"/>
              <w:rPr>
                <w:rFonts w:hint="eastAsia" w:ascii="宋体" w:hAnsi="宋体" w:eastAsia="宋体" w:cs="宋体"/>
                <w:bCs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Cs w:val="21"/>
              </w:rPr>
              <w:t xml:space="preserve">Lan Ma, Xue Zhang, Xiaoming Xu, Yuehai Ke, </w:t>
            </w:r>
            <w:r>
              <w:rPr>
                <w:rFonts w:hint="eastAsia" w:ascii="宋体" w:hAnsi="宋体" w:eastAsia="宋体" w:cs="宋体"/>
                <w:b/>
                <w:color w:val="auto"/>
                <w:szCs w:val="21"/>
              </w:rPr>
              <w:t>Jin Dai</w:t>
            </w:r>
            <w:r>
              <w:rPr>
                <w:rFonts w:hint="eastAsia" w:ascii="宋体" w:hAnsi="宋体" w:eastAsia="宋体" w:cs="宋体"/>
                <w:bCs/>
                <w:color w:val="auto"/>
                <w:szCs w:val="21"/>
              </w:rPr>
              <w:t xml:space="preserve">, Hongqiang Cheng, </w:t>
            </w:r>
            <w:r>
              <w:rPr>
                <w:rFonts w:hint="eastAsia" w:ascii="宋体" w:hAnsi="宋体" w:eastAsia="宋体" w:cs="宋体"/>
                <w:b/>
                <w:color w:val="auto"/>
                <w:szCs w:val="21"/>
              </w:rPr>
              <w:t>Wei Mao</w:t>
            </w:r>
            <w:r>
              <w:rPr>
                <w:rFonts w:hint="eastAsia" w:ascii="宋体" w:hAnsi="宋体" w:eastAsia="宋体" w:cs="宋体"/>
                <w:bCs/>
                <w:color w:val="auto"/>
                <w:szCs w:val="21"/>
              </w:rPr>
              <w:t xml:space="preserve">. (2018). Compatibility principle in the Tanyu Tongzhi Formula revealed by a cell-based analysis. J Ethnopharmacol, 231(0), 507-515. </w:t>
            </w:r>
          </w:p>
          <w:p w14:paraId="3F212AFB">
            <w:pPr>
              <w:numPr>
                <w:ilvl w:val="0"/>
                <w:numId w:val="1"/>
              </w:numPr>
              <w:spacing w:line="440" w:lineRule="exact"/>
              <w:jc w:val="left"/>
              <w:rPr>
                <w:rFonts w:hint="eastAsia" w:ascii="宋体" w:hAnsi="宋体" w:eastAsia="宋体" w:cs="宋体"/>
                <w:bCs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Cs w:val="21"/>
              </w:rPr>
              <w:t xml:space="preserve">Chan Chen, Yang Lou, Xin-Yi Li, Zheng-Tian Lv, Lu-Qiu Zhang, </w:t>
            </w:r>
            <w:r>
              <w:rPr>
                <w:rFonts w:hint="eastAsia" w:ascii="宋体" w:hAnsi="宋体" w:eastAsia="宋体" w:cs="宋体"/>
                <w:b/>
                <w:color w:val="auto"/>
                <w:szCs w:val="21"/>
              </w:rPr>
              <w:t>Wei Mao</w:t>
            </w:r>
            <w:r>
              <w:rPr>
                <w:rFonts w:hint="eastAsia" w:ascii="宋体" w:hAnsi="宋体" w:eastAsia="宋体" w:cs="宋体"/>
                <w:bCs/>
                <w:color w:val="auto"/>
                <w:szCs w:val="21"/>
              </w:rPr>
              <w:t xml:space="preserve">. (2020). Mapping current research and identifying hotspots on mesenchymal stem cells in cardiovascular disease. Stem Cell Res Ther, 11(1), 498. </w:t>
            </w:r>
          </w:p>
          <w:p w14:paraId="767AB62C">
            <w:pPr>
              <w:numPr>
                <w:ilvl w:val="0"/>
                <w:numId w:val="1"/>
              </w:numPr>
              <w:spacing w:line="440" w:lineRule="exact"/>
              <w:jc w:val="left"/>
              <w:rPr>
                <w:rFonts w:ascii="Times New Roman" w:hAnsi="Times New Roman" w:eastAsia="仿宋_GB2312" w:cs="Times New Roman"/>
                <w:bCs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Cs w:val="21"/>
              </w:rPr>
              <w:t xml:space="preserve">Lan Ma, Xiaoce Dai, </w:t>
            </w:r>
            <w:r>
              <w:rPr>
                <w:rFonts w:hint="eastAsia" w:ascii="宋体" w:hAnsi="宋体" w:eastAsia="宋体" w:cs="宋体"/>
                <w:b/>
                <w:color w:val="auto"/>
                <w:szCs w:val="21"/>
              </w:rPr>
              <w:t>Chenxia Wu</w:t>
            </w:r>
            <w:r>
              <w:rPr>
                <w:rFonts w:hint="eastAsia" w:ascii="宋体" w:hAnsi="宋体" w:eastAsia="宋体" w:cs="宋体"/>
                <w:bCs/>
                <w:color w:val="auto"/>
                <w:szCs w:val="21"/>
              </w:rPr>
              <w:t xml:space="preserve">, Mingshuang Li, Hongzhuan Sheng, </w:t>
            </w:r>
            <w:r>
              <w:rPr>
                <w:rFonts w:hint="eastAsia" w:ascii="宋体" w:hAnsi="宋体" w:eastAsia="宋体" w:cs="宋体"/>
                <w:b/>
                <w:color w:val="auto"/>
                <w:szCs w:val="21"/>
              </w:rPr>
              <w:t>Wei Mao</w:t>
            </w:r>
            <w:r>
              <w:rPr>
                <w:rFonts w:hint="eastAsia" w:ascii="宋体" w:hAnsi="宋体" w:eastAsia="宋体" w:cs="宋体"/>
                <w:bCs/>
                <w:color w:val="auto"/>
                <w:szCs w:val="21"/>
              </w:rPr>
              <w:t xml:space="preserve">. (2021). Tanyu Tongzhi Formula Delays Atherosclerotic Plaque Progression by Promoting Alternative Macrophage Activation via PPARγ and AKT/ERK Signal Pathway in ApoE Knock-Out Mice. Front Pharmacol, 12(0), 734589. </w:t>
            </w:r>
          </w:p>
          <w:p w14:paraId="5CABB1C4">
            <w:pPr>
              <w:numPr>
                <w:ilvl w:val="0"/>
                <w:numId w:val="1"/>
              </w:numPr>
              <w:spacing w:line="440" w:lineRule="exact"/>
              <w:jc w:val="left"/>
              <w:rPr>
                <w:rFonts w:ascii="Times New Roman" w:hAnsi="Times New Roman" w:eastAsia="仿宋_GB2312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Cs w:val="21"/>
              </w:rPr>
              <w:t xml:space="preserve">Ji Zhu, Yingling Xu, Guangyan Ren, Xiao Hu, Cui Wang, Zhen Yang, Zhuoyu Li, </w:t>
            </w:r>
            <w:r>
              <w:rPr>
                <w:rFonts w:hint="eastAsia" w:ascii="宋体" w:hAnsi="宋体" w:eastAsia="宋体" w:cs="宋体"/>
                <w:b/>
                <w:color w:val="auto"/>
                <w:szCs w:val="21"/>
              </w:rPr>
              <w:t>Wei Mao</w:t>
            </w:r>
            <w:r>
              <w:rPr>
                <w:rFonts w:hint="eastAsia" w:ascii="宋体" w:hAnsi="宋体" w:eastAsia="宋体" w:cs="宋体"/>
                <w:bCs/>
                <w:color w:val="auto"/>
                <w:szCs w:val="21"/>
              </w:rPr>
              <w:t xml:space="preserve">, Dezhao Lu. (2017). Tanshinone IIA Sodium sulfonate regulates antioxidant system, inflammation, and endothelial dysfunction in atherosclerosis by downregulation of CLIC1. Eur J Pharmacol, 815(0), 427-436. </w:t>
            </w:r>
          </w:p>
        </w:tc>
      </w:tr>
      <w:tr w14:paraId="73684186">
        <w:trPr>
          <w:trHeight w:val="1958" w:hRule="atLeast"/>
        </w:trPr>
        <w:tc>
          <w:tcPr>
            <w:tcW w:w="2269" w:type="dxa"/>
            <w:tcBorders>
              <w:right w:val="single" w:color="auto" w:sz="4" w:space="0"/>
            </w:tcBorders>
            <w:vAlign w:val="center"/>
          </w:tcPr>
          <w:p w14:paraId="51BDA103">
            <w:pPr>
              <w:spacing w:line="440" w:lineRule="exact"/>
              <w:jc w:val="center"/>
              <w:rPr>
                <w:rFonts w:eastAsia="仿宋_GB2312"/>
                <w:bCs/>
                <w:sz w:val="28"/>
                <w:szCs w:val="24"/>
              </w:rPr>
            </w:pPr>
            <w:r>
              <w:rPr>
                <w:rFonts w:eastAsia="仿宋_GB2312"/>
                <w:bCs/>
                <w:sz w:val="28"/>
                <w:szCs w:val="24"/>
              </w:rPr>
              <w:t>主要完成人</w:t>
            </w:r>
          </w:p>
        </w:tc>
        <w:tc>
          <w:tcPr>
            <w:tcW w:w="6237" w:type="dxa"/>
            <w:tcBorders>
              <w:left w:val="single" w:color="auto" w:sz="4" w:space="0"/>
            </w:tcBorders>
            <w:vAlign w:val="center"/>
          </w:tcPr>
          <w:p w14:paraId="72D6CE92">
            <w:pPr>
              <w:spacing w:line="440" w:lineRule="exact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毛  威，排名1，主任医师，浙江医院；</w:t>
            </w:r>
          </w:p>
          <w:p w14:paraId="35BFB91E">
            <w:pPr>
              <w:spacing w:line="440" w:lineRule="exact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吴晨霞，排名2，助理研究员，浙江医院；</w:t>
            </w:r>
          </w:p>
          <w:p w14:paraId="172D73F7">
            <w:pPr>
              <w:spacing w:line="440" w:lineRule="exact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陈婷婷，排名3，副主任技师，浙江医院；</w:t>
            </w:r>
          </w:p>
          <w:p w14:paraId="45C689D2">
            <w:pPr>
              <w:spacing w:line="440" w:lineRule="exact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戴  金，排名4，主任医师，浙江省中医院；</w:t>
            </w:r>
          </w:p>
          <w:p w14:paraId="6CA214E1">
            <w:pPr>
              <w:spacing w:line="440" w:lineRule="exact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周鑫斌，排名5，副主任医师，浙江省中医院；</w:t>
            </w:r>
          </w:p>
          <w:p w14:paraId="2107E28B">
            <w:pPr>
              <w:spacing w:line="440" w:lineRule="exact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陈民利，排名6，教授，浙江中医药大学；</w:t>
            </w:r>
          </w:p>
          <w:p w14:paraId="468AAA10">
            <w:pPr>
              <w:spacing w:line="440" w:lineRule="exact"/>
              <w:jc w:val="left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江  帆，排名7，副主任医师，杭州师范大学附属医院（杭州市第二人民医院）；</w:t>
            </w:r>
          </w:p>
          <w:p w14:paraId="50AB1129">
            <w:pPr>
              <w:spacing w:line="440" w:lineRule="exact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吕玲春，排名8，主任医师，丽水市中心医院；</w:t>
            </w:r>
          </w:p>
          <w:p w14:paraId="4DBE3A92">
            <w:pPr>
              <w:spacing w:line="440" w:lineRule="exact"/>
              <w:jc w:val="left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徐文成，排名9，副主任医师，杭州师范大学附属医院（杭州市第二人民医院）；</w:t>
            </w:r>
          </w:p>
          <w:p w14:paraId="15D9C35D">
            <w:pPr>
              <w:spacing w:line="440" w:lineRule="exact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陈铁龙，排名10，主任医师，杭州市中医院（浙江中医药大学附属杭州市中医院）；</w:t>
            </w:r>
          </w:p>
          <w:p w14:paraId="5E2895D5">
            <w:pPr>
              <w:spacing w:line="440" w:lineRule="exact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王坤根，排名11，主任医师，浙江省中医院；</w:t>
            </w:r>
          </w:p>
          <w:p w14:paraId="5608FE6B">
            <w:pPr>
              <w:spacing w:line="440" w:lineRule="exact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郑  猛，排名12，高级工程师，浙江惠松制药有限公司；</w:t>
            </w:r>
          </w:p>
          <w:p w14:paraId="32153A3F">
            <w:pPr>
              <w:spacing w:line="440" w:lineRule="exact"/>
              <w:rPr>
                <w:rFonts w:eastAsia="仿宋_GB2312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highlight w:val="none"/>
              </w:rPr>
              <w:t>潘永明，排名13，</w:t>
            </w:r>
            <w:r>
              <w:rPr>
                <w:rFonts w:hint="eastAsia" w:ascii="宋体" w:hAnsi="宋体" w:eastAsia="宋体" w:cs="宋体"/>
                <w:bCs/>
                <w:szCs w:val="21"/>
                <w:highlight w:val="none"/>
                <w:lang w:val="en-US" w:eastAsia="zh-CN"/>
              </w:rPr>
              <w:t>副研究员</w:t>
            </w:r>
            <w:r>
              <w:rPr>
                <w:rFonts w:hint="eastAsia" w:ascii="宋体" w:hAnsi="宋体" w:eastAsia="宋体" w:cs="宋体"/>
                <w:bCs/>
                <w:szCs w:val="21"/>
                <w:highlight w:val="none"/>
              </w:rPr>
              <w:t>，杭州利孚泰生物科技有限公司；</w:t>
            </w:r>
          </w:p>
        </w:tc>
      </w:tr>
      <w:tr w14:paraId="2676CC92">
        <w:trPr>
          <w:trHeight w:val="1986" w:hRule="atLeast"/>
        </w:trPr>
        <w:tc>
          <w:tcPr>
            <w:tcW w:w="2269" w:type="dxa"/>
            <w:tcBorders>
              <w:right w:val="single" w:color="auto" w:sz="4" w:space="0"/>
            </w:tcBorders>
            <w:vAlign w:val="center"/>
          </w:tcPr>
          <w:p w14:paraId="01A6AC31">
            <w:pPr>
              <w:spacing w:line="440" w:lineRule="exact"/>
              <w:jc w:val="center"/>
              <w:rPr>
                <w:rFonts w:eastAsia="仿宋"/>
                <w:bCs/>
                <w:sz w:val="24"/>
                <w:szCs w:val="24"/>
              </w:rPr>
            </w:pPr>
            <w:r>
              <w:rPr>
                <w:rFonts w:eastAsia="仿宋"/>
                <w:bCs/>
                <w:sz w:val="28"/>
                <w:szCs w:val="24"/>
              </w:rPr>
              <w:t>主要完成单位</w:t>
            </w:r>
          </w:p>
        </w:tc>
        <w:tc>
          <w:tcPr>
            <w:tcW w:w="6237" w:type="dxa"/>
            <w:tcBorders>
              <w:left w:val="single" w:color="auto" w:sz="4" w:space="0"/>
            </w:tcBorders>
            <w:vAlign w:val="center"/>
          </w:tcPr>
          <w:p w14:paraId="722886AD">
            <w:pPr>
              <w:spacing w:line="440" w:lineRule="exact"/>
              <w:jc w:val="left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1.单位名称：浙江医院</w:t>
            </w:r>
          </w:p>
          <w:p w14:paraId="17C38181">
            <w:pPr>
              <w:spacing w:line="440" w:lineRule="exact"/>
              <w:jc w:val="left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 xml:space="preserve">2.单位名称：浙江省中医院          </w:t>
            </w:r>
          </w:p>
          <w:p w14:paraId="424BEB09">
            <w:pPr>
              <w:spacing w:line="440" w:lineRule="exact"/>
              <w:jc w:val="left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3.单位名称：浙江中医药大学</w:t>
            </w:r>
          </w:p>
          <w:p w14:paraId="75848272">
            <w:pPr>
              <w:spacing w:line="440" w:lineRule="exact"/>
              <w:jc w:val="left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4.单位名称：浙江惠松制药有限公司</w:t>
            </w:r>
          </w:p>
          <w:p w14:paraId="778D48DF">
            <w:pPr>
              <w:spacing w:line="440" w:lineRule="exact"/>
              <w:jc w:val="left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5.单位名称：杭州师范大学附属医院（杭州市第二人民医院）</w:t>
            </w:r>
          </w:p>
          <w:p w14:paraId="02317DCA">
            <w:pPr>
              <w:spacing w:line="440" w:lineRule="exact"/>
              <w:jc w:val="left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6.单位名称：丽水市中心医院</w:t>
            </w:r>
          </w:p>
          <w:p w14:paraId="3FB35BB7">
            <w:pPr>
              <w:spacing w:line="440" w:lineRule="exact"/>
              <w:jc w:val="left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7.单位名称：杭州利孚泰生物科技有限公司</w:t>
            </w:r>
          </w:p>
          <w:p w14:paraId="5ED25133">
            <w:pPr>
              <w:spacing w:line="440" w:lineRule="exact"/>
              <w:jc w:val="left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8.单位名称：杭州市中医院（浙江中医药大学附属杭州市中医院）</w:t>
            </w:r>
          </w:p>
          <w:p w14:paraId="4581FA94">
            <w:pPr>
              <w:spacing w:line="440" w:lineRule="exact"/>
              <w:jc w:val="left"/>
              <w:rPr>
                <w:rFonts w:eastAsia="仿宋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9.单位名称：杭州市第一人民医院</w:t>
            </w:r>
          </w:p>
        </w:tc>
      </w:tr>
      <w:tr w14:paraId="51631058">
        <w:trPr>
          <w:trHeight w:val="692" w:hRule="atLeast"/>
        </w:trPr>
        <w:tc>
          <w:tcPr>
            <w:tcW w:w="2269" w:type="dxa"/>
            <w:vAlign w:val="center"/>
          </w:tcPr>
          <w:p w14:paraId="3692B77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bCs/>
                <w:sz w:val="28"/>
                <w:szCs w:val="28"/>
              </w:rPr>
              <w:t>推荐</w:t>
            </w:r>
            <w:r>
              <w:rPr>
                <w:rFonts w:eastAsia="仿宋_GB2312"/>
                <w:bCs/>
                <w:sz w:val="28"/>
                <w:szCs w:val="28"/>
              </w:rPr>
              <w:t>单位</w:t>
            </w:r>
          </w:p>
        </w:tc>
        <w:tc>
          <w:tcPr>
            <w:tcW w:w="6237" w:type="dxa"/>
            <w:vAlign w:val="center"/>
          </w:tcPr>
          <w:p w14:paraId="3595DD99">
            <w:pPr>
              <w:contextualSpacing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浙江医院</w:t>
            </w:r>
          </w:p>
        </w:tc>
      </w:tr>
      <w:tr w14:paraId="43233615">
        <w:trPr>
          <w:trHeight w:val="3398" w:hRule="atLeast"/>
        </w:trPr>
        <w:tc>
          <w:tcPr>
            <w:tcW w:w="2269" w:type="dxa"/>
            <w:vAlign w:val="center"/>
          </w:tcPr>
          <w:p w14:paraId="6076F109">
            <w:pPr>
              <w:jc w:val="center"/>
              <w:rPr>
                <w:rFonts w:eastAsia="仿宋_GB2312"/>
                <w:color w:val="4874CB" w:themeColor="accent1"/>
                <w:sz w:val="28"/>
                <w:szCs w:val="28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eastAsia="仿宋_GB2312"/>
                <w:bCs/>
                <w:color w:val="auto"/>
                <w:sz w:val="28"/>
                <w:szCs w:val="28"/>
              </w:rPr>
              <w:t>推荐</w:t>
            </w:r>
            <w:r>
              <w:rPr>
                <w:rFonts w:eastAsia="仿宋_GB2312"/>
                <w:bCs/>
                <w:color w:val="auto"/>
                <w:sz w:val="28"/>
                <w:szCs w:val="28"/>
              </w:rPr>
              <w:t>意见</w:t>
            </w:r>
          </w:p>
        </w:tc>
        <w:tc>
          <w:tcPr>
            <w:tcW w:w="6237" w:type="dxa"/>
            <w:vAlign w:val="center"/>
          </w:tcPr>
          <w:p w14:paraId="2EFCEBBB">
            <w:pPr>
              <w:ind w:firstLine="420" w:firstLineChars="200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该成果针对冠心病是严重威胁国人健康的重大疾病，现有治疗残余风险仍高，痰瘀互结证成为冠心病主要证型但上市同类成药仅有一种的现状，在国家重点研发、国家自然科学基金重点项目和省重点研发、省中医药防治重大疾病攻关计划等项目支持下，传承国家名老中医验方，成功研制痰瘀同治胶囊，并完成了“痰瘀同治胶囊治疗稳定性冠心病（痰瘀互结证）的有效性及安全性随机、对照、多中心临床研究（MRCTSCAD）”，结果发现患者运动耐量、生活质量显著改善，且安全性良好。</w:t>
            </w:r>
          </w:p>
          <w:p w14:paraId="4AAF5380">
            <w:pPr>
              <w:ind w:firstLine="420" w:firstLineChars="200"/>
              <w:rPr>
                <w:color w:val="4874CB" w:themeColor="accent1"/>
                <w:szCs w:val="20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获批国家发明专利3项，在省内外数十家医院推广应用。成果纳入《浙江省中医（中西医结合）单病种诊疗规范》。制定痰瘀同治胶囊制备工艺和质量标准，构建系列动脉粥样硬化动物模型，对获益机制进行系统研究阐释。在J Hematol Oncol、ATVB、Phytomedicine、JAHA、J Immunology、中国中西医结合杂志等期刊发表高质量论文逾百篇，他引逾500次，获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项省部级以上科技计划支持，为中西医结合冠心病防治做出了积极贡献，同意推荐为浙江省中医药科学技术进步一等奖。</w:t>
            </w:r>
          </w:p>
        </w:tc>
      </w:tr>
    </w:tbl>
    <w:p w14:paraId="38DEA2A4">
      <w:pPr>
        <w:rPr>
          <w:rFonts w:hint="eastAsia" w:ascii="黑体" w:hAnsi="黑体" w:eastAsia="黑体" w:cs="黑体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50122D57">
      <w:pPr>
        <w:adjustRightInd w:val="0"/>
        <w:snapToGrid w:val="0"/>
        <w:spacing w:line="580" w:lineRule="exact"/>
        <w:ind w:right="160"/>
        <w:jc w:val="left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附件2</w:t>
      </w:r>
    </w:p>
    <w:p w14:paraId="6462528C">
      <w:pPr>
        <w:adjustRightInd w:val="0"/>
        <w:snapToGrid w:val="0"/>
        <w:spacing w:line="580" w:lineRule="exact"/>
        <w:ind w:right="160"/>
        <w:jc w:val="center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  <w:t>2025年度浙江省中医药科学技术奖单位推荐汇总表</w:t>
      </w:r>
    </w:p>
    <w:p w14:paraId="2B05ACF0">
      <w:pPr>
        <w:adjustRightInd w:val="0"/>
        <w:snapToGrid w:val="0"/>
        <w:spacing w:line="580" w:lineRule="exact"/>
        <w:ind w:right="160"/>
        <w:rPr>
          <w:rFonts w:eastAsia="方正小标宋简体"/>
          <w:color w:val="000000"/>
          <w:sz w:val="30"/>
          <w:szCs w:val="30"/>
        </w:rPr>
      </w:pPr>
      <w:r>
        <w:rPr>
          <w:rFonts w:hint="eastAsia" w:eastAsia="方正小标宋简体"/>
          <w:color w:val="000000"/>
          <w:sz w:val="30"/>
          <w:szCs w:val="30"/>
        </w:rPr>
        <w:t>单位（盖章）：</w:t>
      </w:r>
    </w:p>
    <w:tbl>
      <w:tblPr>
        <w:tblStyle w:val="4"/>
        <w:tblW w:w="145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8"/>
        <w:gridCol w:w="1620"/>
        <w:gridCol w:w="1365"/>
        <w:gridCol w:w="3405"/>
        <w:gridCol w:w="4075"/>
        <w:gridCol w:w="3407"/>
      </w:tblGrid>
      <w:tr w14:paraId="15F2C2EA">
        <w:trPr>
          <w:trHeight w:val="454" w:hRule="atLeast"/>
          <w:jc w:val="center"/>
        </w:trPr>
        <w:tc>
          <w:tcPr>
            <w:tcW w:w="658" w:type="dxa"/>
            <w:vAlign w:val="center"/>
          </w:tcPr>
          <w:p w14:paraId="13C83221">
            <w:pPr>
              <w:adjustRightInd w:val="0"/>
              <w:snapToGrid w:val="0"/>
              <w:jc w:val="center"/>
              <w:rPr>
                <w:b/>
                <w:color w:val="000000"/>
                <w:spacing w:val="-10"/>
                <w:sz w:val="30"/>
                <w:szCs w:val="30"/>
              </w:rPr>
            </w:pPr>
            <w:r>
              <w:rPr>
                <w:b/>
                <w:color w:val="000000"/>
                <w:spacing w:val="-10"/>
                <w:sz w:val="30"/>
                <w:szCs w:val="30"/>
              </w:rPr>
              <w:t>序号</w:t>
            </w:r>
          </w:p>
        </w:tc>
        <w:tc>
          <w:tcPr>
            <w:tcW w:w="1620" w:type="dxa"/>
            <w:vAlign w:val="center"/>
          </w:tcPr>
          <w:p w14:paraId="0237E5A6">
            <w:pPr>
              <w:adjustRightInd w:val="0"/>
              <w:snapToGrid w:val="0"/>
              <w:jc w:val="center"/>
              <w:rPr>
                <w:rFonts w:eastAsia="宋体"/>
                <w:b/>
                <w:color w:val="000000"/>
                <w:spacing w:val="-10"/>
                <w:sz w:val="30"/>
                <w:szCs w:val="30"/>
              </w:rPr>
            </w:pPr>
            <w:r>
              <w:rPr>
                <w:rFonts w:hint="eastAsia"/>
                <w:b/>
                <w:color w:val="000000"/>
                <w:spacing w:val="-10"/>
                <w:sz w:val="30"/>
                <w:szCs w:val="30"/>
              </w:rPr>
              <w:t>推荐类别</w:t>
            </w:r>
          </w:p>
        </w:tc>
        <w:tc>
          <w:tcPr>
            <w:tcW w:w="1365" w:type="dxa"/>
            <w:vAlign w:val="center"/>
          </w:tcPr>
          <w:p w14:paraId="3571B39F">
            <w:pPr>
              <w:adjustRightInd w:val="0"/>
              <w:snapToGrid w:val="0"/>
              <w:jc w:val="center"/>
              <w:rPr>
                <w:b/>
                <w:color w:val="000000"/>
                <w:spacing w:val="-10"/>
                <w:sz w:val="30"/>
                <w:szCs w:val="30"/>
              </w:rPr>
            </w:pPr>
            <w:r>
              <w:rPr>
                <w:rFonts w:hint="eastAsia"/>
                <w:b/>
                <w:color w:val="000000"/>
                <w:spacing w:val="-10"/>
                <w:sz w:val="30"/>
                <w:szCs w:val="30"/>
              </w:rPr>
              <w:t>推荐</w:t>
            </w:r>
            <w:r>
              <w:rPr>
                <w:b/>
                <w:color w:val="000000"/>
                <w:spacing w:val="-10"/>
                <w:sz w:val="30"/>
                <w:szCs w:val="30"/>
              </w:rPr>
              <w:t>等级</w:t>
            </w:r>
          </w:p>
        </w:tc>
        <w:tc>
          <w:tcPr>
            <w:tcW w:w="3405" w:type="dxa"/>
            <w:vAlign w:val="center"/>
          </w:tcPr>
          <w:p w14:paraId="6604BBF2">
            <w:pPr>
              <w:adjustRightInd w:val="0"/>
              <w:snapToGrid w:val="0"/>
              <w:jc w:val="center"/>
              <w:rPr>
                <w:b/>
                <w:color w:val="000000"/>
                <w:spacing w:val="-10"/>
                <w:sz w:val="30"/>
                <w:szCs w:val="30"/>
              </w:rPr>
            </w:pPr>
            <w:r>
              <w:rPr>
                <w:b/>
                <w:color w:val="000000"/>
                <w:spacing w:val="-10"/>
                <w:sz w:val="30"/>
                <w:szCs w:val="30"/>
              </w:rPr>
              <w:t>被</w:t>
            </w:r>
            <w:r>
              <w:rPr>
                <w:rFonts w:hint="eastAsia"/>
                <w:b/>
                <w:color w:val="000000"/>
                <w:spacing w:val="-10"/>
                <w:sz w:val="30"/>
                <w:szCs w:val="30"/>
              </w:rPr>
              <w:t>推荐成果</w:t>
            </w:r>
            <w:r>
              <w:rPr>
                <w:b/>
                <w:color w:val="000000"/>
                <w:spacing w:val="-10"/>
                <w:sz w:val="30"/>
                <w:szCs w:val="30"/>
              </w:rPr>
              <w:t>名称</w:t>
            </w:r>
          </w:p>
        </w:tc>
        <w:tc>
          <w:tcPr>
            <w:tcW w:w="4075" w:type="dxa"/>
            <w:vAlign w:val="center"/>
          </w:tcPr>
          <w:p w14:paraId="5EAB13F2">
            <w:pPr>
              <w:adjustRightInd w:val="0"/>
              <w:snapToGrid w:val="0"/>
              <w:jc w:val="center"/>
              <w:rPr>
                <w:b/>
                <w:color w:val="000000"/>
                <w:spacing w:val="-10"/>
                <w:sz w:val="30"/>
                <w:szCs w:val="30"/>
              </w:rPr>
            </w:pPr>
            <w:r>
              <w:rPr>
                <w:b/>
                <w:color w:val="000000"/>
                <w:spacing w:val="-10"/>
                <w:sz w:val="30"/>
                <w:szCs w:val="30"/>
              </w:rPr>
              <w:t>被</w:t>
            </w:r>
            <w:r>
              <w:rPr>
                <w:rFonts w:hint="eastAsia"/>
                <w:b/>
                <w:color w:val="000000"/>
                <w:spacing w:val="-10"/>
                <w:sz w:val="30"/>
                <w:szCs w:val="30"/>
              </w:rPr>
              <w:t>推荐</w:t>
            </w:r>
            <w:r>
              <w:rPr>
                <w:b/>
                <w:color w:val="000000"/>
                <w:spacing w:val="-10"/>
                <w:sz w:val="30"/>
                <w:szCs w:val="30"/>
              </w:rPr>
              <w:t>成果</w:t>
            </w:r>
            <w:r>
              <w:rPr>
                <w:rFonts w:hint="eastAsia"/>
                <w:b/>
                <w:color w:val="000000"/>
                <w:spacing w:val="-10"/>
                <w:sz w:val="30"/>
                <w:szCs w:val="30"/>
              </w:rPr>
              <w:t>主要</w:t>
            </w:r>
            <w:r>
              <w:rPr>
                <w:b/>
                <w:color w:val="000000"/>
                <w:spacing w:val="-10"/>
                <w:sz w:val="30"/>
                <w:szCs w:val="30"/>
              </w:rPr>
              <w:t>完成单位</w:t>
            </w:r>
          </w:p>
        </w:tc>
        <w:tc>
          <w:tcPr>
            <w:tcW w:w="3407" w:type="dxa"/>
            <w:vAlign w:val="center"/>
          </w:tcPr>
          <w:p w14:paraId="64290D5E">
            <w:pPr>
              <w:adjustRightInd w:val="0"/>
              <w:snapToGrid w:val="0"/>
              <w:jc w:val="center"/>
              <w:rPr>
                <w:b/>
                <w:color w:val="000000"/>
                <w:spacing w:val="-10"/>
                <w:sz w:val="30"/>
                <w:szCs w:val="30"/>
              </w:rPr>
            </w:pPr>
            <w:r>
              <w:rPr>
                <w:b/>
                <w:color w:val="000000"/>
                <w:spacing w:val="-10"/>
                <w:sz w:val="30"/>
                <w:szCs w:val="30"/>
              </w:rPr>
              <w:t>被</w:t>
            </w:r>
            <w:r>
              <w:rPr>
                <w:rFonts w:hint="eastAsia"/>
                <w:b/>
                <w:color w:val="000000"/>
                <w:spacing w:val="-10"/>
                <w:sz w:val="30"/>
                <w:szCs w:val="30"/>
              </w:rPr>
              <w:t>推荐</w:t>
            </w:r>
            <w:r>
              <w:rPr>
                <w:b/>
                <w:color w:val="000000"/>
                <w:spacing w:val="-10"/>
                <w:sz w:val="30"/>
                <w:szCs w:val="30"/>
              </w:rPr>
              <w:t>成果</w:t>
            </w:r>
            <w:r>
              <w:rPr>
                <w:rFonts w:hint="eastAsia"/>
                <w:b/>
                <w:color w:val="000000"/>
                <w:spacing w:val="-10"/>
                <w:sz w:val="30"/>
                <w:szCs w:val="30"/>
              </w:rPr>
              <w:t>主要完成</w:t>
            </w:r>
            <w:r>
              <w:rPr>
                <w:b/>
                <w:color w:val="000000"/>
                <w:spacing w:val="-10"/>
                <w:sz w:val="30"/>
                <w:szCs w:val="30"/>
              </w:rPr>
              <w:t>人</w:t>
            </w:r>
          </w:p>
        </w:tc>
      </w:tr>
      <w:tr w14:paraId="6DF71E50">
        <w:trPr>
          <w:trHeight w:val="454" w:hRule="atLeast"/>
          <w:jc w:val="center"/>
        </w:trPr>
        <w:tc>
          <w:tcPr>
            <w:tcW w:w="658" w:type="dxa"/>
            <w:vAlign w:val="center"/>
          </w:tcPr>
          <w:p w14:paraId="1D2C56D6">
            <w:pPr>
              <w:adjustRightInd w:val="0"/>
              <w:snapToGrid w:val="0"/>
              <w:spacing w:line="580" w:lineRule="exact"/>
              <w:ind w:right="16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1</w:t>
            </w:r>
          </w:p>
        </w:tc>
        <w:tc>
          <w:tcPr>
            <w:tcW w:w="1620" w:type="dxa"/>
            <w:vAlign w:val="center"/>
          </w:tcPr>
          <w:p w14:paraId="490C22B0">
            <w:pPr>
              <w:adjustRightInd w:val="0"/>
              <w:snapToGrid w:val="0"/>
              <w:spacing w:line="580" w:lineRule="exact"/>
              <w:ind w:right="16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应用研究</w:t>
            </w:r>
          </w:p>
        </w:tc>
        <w:tc>
          <w:tcPr>
            <w:tcW w:w="1365" w:type="dxa"/>
            <w:vAlign w:val="center"/>
          </w:tcPr>
          <w:p w14:paraId="719B96B2">
            <w:pPr>
              <w:adjustRightInd w:val="0"/>
              <w:snapToGrid w:val="0"/>
              <w:spacing w:line="580" w:lineRule="exact"/>
              <w:ind w:right="16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一等奖</w:t>
            </w:r>
          </w:p>
        </w:tc>
        <w:tc>
          <w:tcPr>
            <w:tcW w:w="3405" w:type="dxa"/>
            <w:vAlign w:val="center"/>
          </w:tcPr>
          <w:p w14:paraId="78F125EB">
            <w:pPr>
              <w:adjustRightInd w:val="0"/>
              <w:snapToGrid w:val="0"/>
              <w:spacing w:line="580" w:lineRule="exact"/>
              <w:ind w:right="160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传承名老中医“痰瘀同治方”的胶囊创制、科学内涵与转化应用</w:t>
            </w:r>
          </w:p>
        </w:tc>
        <w:tc>
          <w:tcPr>
            <w:tcW w:w="4075" w:type="dxa"/>
            <w:vAlign w:val="center"/>
          </w:tcPr>
          <w:p w14:paraId="5648A0EE">
            <w:pPr>
              <w:adjustRightInd w:val="0"/>
              <w:snapToGrid w:val="0"/>
              <w:spacing w:line="580" w:lineRule="exact"/>
              <w:ind w:right="16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浙江医院</w:t>
            </w:r>
          </w:p>
        </w:tc>
        <w:tc>
          <w:tcPr>
            <w:tcW w:w="3407" w:type="dxa"/>
            <w:vAlign w:val="center"/>
          </w:tcPr>
          <w:p w14:paraId="3B52AE57">
            <w:pPr>
              <w:adjustRightInd w:val="0"/>
              <w:snapToGrid w:val="0"/>
              <w:spacing w:line="580" w:lineRule="exact"/>
              <w:ind w:right="160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毛威，吴晨霞，陈婷婷，戴金，周鑫斌，陈民利，江帆，吕玲春，徐文成，陈铁龙，王坤根，郑猛，潘永明</w:t>
            </w:r>
          </w:p>
        </w:tc>
      </w:tr>
      <w:tr w14:paraId="72709CAA">
        <w:trPr>
          <w:trHeight w:val="454" w:hRule="atLeast"/>
          <w:jc w:val="center"/>
        </w:trPr>
        <w:tc>
          <w:tcPr>
            <w:tcW w:w="658" w:type="dxa"/>
            <w:vAlign w:val="center"/>
          </w:tcPr>
          <w:p w14:paraId="3C52D3AE">
            <w:pPr>
              <w:adjustRightInd w:val="0"/>
              <w:snapToGrid w:val="0"/>
              <w:spacing w:line="580" w:lineRule="exact"/>
              <w:ind w:right="16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14:paraId="508F9459">
            <w:pPr>
              <w:adjustRightInd w:val="0"/>
              <w:snapToGrid w:val="0"/>
              <w:spacing w:line="580" w:lineRule="exact"/>
              <w:ind w:right="160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365" w:type="dxa"/>
            <w:vAlign w:val="center"/>
          </w:tcPr>
          <w:p w14:paraId="2F3B07E1">
            <w:pPr>
              <w:adjustRightInd w:val="0"/>
              <w:snapToGrid w:val="0"/>
              <w:spacing w:line="580" w:lineRule="exact"/>
              <w:ind w:right="160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3405" w:type="dxa"/>
            <w:vAlign w:val="center"/>
          </w:tcPr>
          <w:p w14:paraId="06AA0BA6">
            <w:pPr>
              <w:adjustRightInd w:val="0"/>
              <w:snapToGrid w:val="0"/>
              <w:spacing w:line="580" w:lineRule="exact"/>
              <w:ind w:right="160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4075" w:type="dxa"/>
            <w:vAlign w:val="center"/>
          </w:tcPr>
          <w:p w14:paraId="448D88AA">
            <w:pPr>
              <w:adjustRightInd w:val="0"/>
              <w:snapToGrid w:val="0"/>
              <w:spacing w:line="580" w:lineRule="exact"/>
              <w:ind w:right="160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3407" w:type="dxa"/>
            <w:vAlign w:val="center"/>
          </w:tcPr>
          <w:p w14:paraId="04C0C5CB">
            <w:pPr>
              <w:adjustRightInd w:val="0"/>
              <w:snapToGrid w:val="0"/>
              <w:spacing w:line="580" w:lineRule="exact"/>
              <w:ind w:right="160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</w:tr>
      <w:tr w14:paraId="027B2F10">
        <w:trPr>
          <w:trHeight w:val="454" w:hRule="atLeast"/>
          <w:jc w:val="center"/>
        </w:trPr>
        <w:tc>
          <w:tcPr>
            <w:tcW w:w="658" w:type="dxa"/>
            <w:vAlign w:val="center"/>
          </w:tcPr>
          <w:p w14:paraId="65370E22">
            <w:pPr>
              <w:adjustRightInd w:val="0"/>
              <w:snapToGrid w:val="0"/>
              <w:spacing w:line="580" w:lineRule="exact"/>
              <w:ind w:right="16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14:paraId="0C26093E">
            <w:pPr>
              <w:adjustRightInd w:val="0"/>
              <w:snapToGrid w:val="0"/>
              <w:spacing w:line="580" w:lineRule="exact"/>
              <w:ind w:right="160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365" w:type="dxa"/>
            <w:vAlign w:val="center"/>
          </w:tcPr>
          <w:p w14:paraId="2A3D4FAA">
            <w:pPr>
              <w:adjustRightInd w:val="0"/>
              <w:snapToGrid w:val="0"/>
              <w:spacing w:line="580" w:lineRule="exact"/>
              <w:ind w:right="160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3405" w:type="dxa"/>
            <w:vAlign w:val="center"/>
          </w:tcPr>
          <w:p w14:paraId="0D25F2D2">
            <w:pPr>
              <w:adjustRightInd w:val="0"/>
              <w:snapToGrid w:val="0"/>
              <w:spacing w:line="580" w:lineRule="exact"/>
              <w:ind w:right="160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4075" w:type="dxa"/>
            <w:vAlign w:val="center"/>
          </w:tcPr>
          <w:p w14:paraId="03E10F66">
            <w:pPr>
              <w:adjustRightInd w:val="0"/>
              <w:snapToGrid w:val="0"/>
              <w:spacing w:line="580" w:lineRule="exact"/>
              <w:ind w:right="160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3407" w:type="dxa"/>
            <w:vAlign w:val="center"/>
          </w:tcPr>
          <w:p w14:paraId="6C187CDE">
            <w:pPr>
              <w:adjustRightInd w:val="0"/>
              <w:snapToGrid w:val="0"/>
              <w:spacing w:line="580" w:lineRule="exact"/>
              <w:ind w:right="160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</w:tr>
      <w:tr w14:paraId="2945B741">
        <w:trPr>
          <w:trHeight w:val="454" w:hRule="atLeast"/>
          <w:jc w:val="center"/>
        </w:trPr>
        <w:tc>
          <w:tcPr>
            <w:tcW w:w="658" w:type="dxa"/>
            <w:vAlign w:val="center"/>
          </w:tcPr>
          <w:p w14:paraId="4AC92731">
            <w:pPr>
              <w:adjustRightInd w:val="0"/>
              <w:snapToGrid w:val="0"/>
              <w:spacing w:line="580" w:lineRule="exact"/>
              <w:ind w:right="16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14:paraId="21F16D5A">
            <w:pPr>
              <w:adjustRightInd w:val="0"/>
              <w:snapToGrid w:val="0"/>
              <w:spacing w:line="580" w:lineRule="exact"/>
              <w:ind w:right="160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365" w:type="dxa"/>
            <w:vAlign w:val="center"/>
          </w:tcPr>
          <w:p w14:paraId="45FCEB6A">
            <w:pPr>
              <w:adjustRightInd w:val="0"/>
              <w:snapToGrid w:val="0"/>
              <w:spacing w:line="580" w:lineRule="exact"/>
              <w:ind w:right="160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3405" w:type="dxa"/>
            <w:vAlign w:val="center"/>
          </w:tcPr>
          <w:p w14:paraId="12E0138F">
            <w:pPr>
              <w:adjustRightInd w:val="0"/>
              <w:snapToGrid w:val="0"/>
              <w:spacing w:line="580" w:lineRule="exact"/>
              <w:ind w:right="160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4075" w:type="dxa"/>
            <w:vAlign w:val="center"/>
          </w:tcPr>
          <w:p w14:paraId="395B0474">
            <w:pPr>
              <w:adjustRightInd w:val="0"/>
              <w:snapToGrid w:val="0"/>
              <w:spacing w:line="580" w:lineRule="exact"/>
              <w:ind w:right="160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3407" w:type="dxa"/>
            <w:vAlign w:val="center"/>
          </w:tcPr>
          <w:p w14:paraId="73C6B61F">
            <w:pPr>
              <w:adjustRightInd w:val="0"/>
              <w:snapToGrid w:val="0"/>
              <w:spacing w:line="580" w:lineRule="exact"/>
              <w:ind w:right="160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</w:tr>
    </w:tbl>
    <w:p w14:paraId="7293F2FB"/>
    <w:sectPr>
      <w:pgSz w:w="16838" w:h="11906" w:orient="landscape"/>
      <w:pgMar w:top="1803" w:right="1440" w:bottom="1803" w:left="1440" w:header="851" w:footer="992" w:gutter="0"/>
      <w:cols w:space="0" w:num="1"/>
      <w:docGrid w:type="lines" w:linePitch="31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_GB2312">
    <w:altName w:val="方正仿宋_GBK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小标宋简体">
    <w:altName w:val="汉仪书宋二KW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BE090B"/>
    <w:multiLevelType w:val="singleLevel"/>
    <w:tmpl w:val="FFBE090B"/>
    <w:lvl w:ilvl="0" w:tentative="0">
      <w:start w:val="1"/>
      <w:numFmt w:val="decimal"/>
      <w:lvlText w:val="%1."/>
      <w:lvlJc w:val="left"/>
      <w:pPr>
        <w:tabs>
          <w:tab w:val="left" w:pos="312"/>
        </w:tabs>
      </w:pPr>
      <w:rPr>
        <w:rFonts w:hint="default" w:asciiTheme="minorEastAsia" w:hAnsiTheme="minorEastAsia" w:eastAsiaTheme="minorEastAsia" w:cstheme="minorEastAsia"/>
        <w:i w:val="0"/>
        <w:iCs w:val="0"/>
        <w:color w:va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3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0905EE"/>
    <w:rsid w:val="00022810"/>
    <w:rsid w:val="00095E06"/>
    <w:rsid w:val="000D0806"/>
    <w:rsid w:val="001134E7"/>
    <w:rsid w:val="001810DE"/>
    <w:rsid w:val="001934B0"/>
    <w:rsid w:val="001A53E5"/>
    <w:rsid w:val="001D17E0"/>
    <w:rsid w:val="0022460B"/>
    <w:rsid w:val="00225FCF"/>
    <w:rsid w:val="002667AC"/>
    <w:rsid w:val="002D4519"/>
    <w:rsid w:val="002E7FF0"/>
    <w:rsid w:val="00355614"/>
    <w:rsid w:val="003C05BE"/>
    <w:rsid w:val="004078CA"/>
    <w:rsid w:val="00416256"/>
    <w:rsid w:val="00481643"/>
    <w:rsid w:val="004B46C9"/>
    <w:rsid w:val="004C3E38"/>
    <w:rsid w:val="0054399A"/>
    <w:rsid w:val="005502D0"/>
    <w:rsid w:val="005610D6"/>
    <w:rsid w:val="005F4856"/>
    <w:rsid w:val="006356FB"/>
    <w:rsid w:val="007F4C5E"/>
    <w:rsid w:val="00841D0B"/>
    <w:rsid w:val="008875B8"/>
    <w:rsid w:val="008A4AE4"/>
    <w:rsid w:val="00967490"/>
    <w:rsid w:val="00980A9B"/>
    <w:rsid w:val="00A15272"/>
    <w:rsid w:val="00A529E7"/>
    <w:rsid w:val="00A743CA"/>
    <w:rsid w:val="00B03217"/>
    <w:rsid w:val="00B2312B"/>
    <w:rsid w:val="00BC21DB"/>
    <w:rsid w:val="00BF5863"/>
    <w:rsid w:val="00C6254E"/>
    <w:rsid w:val="00D144C6"/>
    <w:rsid w:val="00DB1943"/>
    <w:rsid w:val="00DC2D96"/>
    <w:rsid w:val="00E67291"/>
    <w:rsid w:val="00EC0793"/>
    <w:rsid w:val="00ED565E"/>
    <w:rsid w:val="00FA7870"/>
    <w:rsid w:val="00FE53C5"/>
    <w:rsid w:val="0CB06DC9"/>
    <w:rsid w:val="182451C2"/>
    <w:rsid w:val="24DF0A7B"/>
    <w:rsid w:val="28682C64"/>
    <w:rsid w:val="32FB034B"/>
    <w:rsid w:val="37EF9F3C"/>
    <w:rsid w:val="390905EE"/>
    <w:rsid w:val="4AEFE085"/>
    <w:rsid w:val="62D7143D"/>
    <w:rsid w:val="6F875D50"/>
    <w:rsid w:val="714814E8"/>
    <w:rsid w:val="7BA7078F"/>
    <w:rsid w:val="B7ECA439"/>
    <w:rsid w:val="EBFD6460"/>
    <w:rsid w:val="EFFB7819"/>
    <w:rsid w:val="F2F25FE9"/>
    <w:rsid w:val="F566775A"/>
    <w:rsid w:val="FF76C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40" w:lineRule="exact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rFonts w:eastAsia="仿宋_GB2312" w:cs="Times New Roman"/>
      <w:b/>
      <w:bCs/>
      <w:kern w:val="44"/>
      <w:sz w:val="44"/>
      <w:szCs w:val="44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 w:line="240" w:lineRule="auto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6">
    <w:name w:val="title1"/>
    <w:qFormat/>
    <w:uiPriority w:val="0"/>
    <w:rPr>
      <w:b/>
      <w:bCs/>
      <w:color w:val="99990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487</Words>
  <Characters>2779</Characters>
  <Lines>23</Lines>
  <Paragraphs>6</Paragraphs>
  <TotalTime>74</TotalTime>
  <ScaleCrop>false</ScaleCrop>
  <LinksUpToDate>false</LinksUpToDate>
  <CharactersWithSpaces>3260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2024-12-11T16:20:00Z</dcterms:created>
  <dc:creator>Louyan</dc:creator>
  <cp:lastModifiedBy>WPS_1766610740</cp:lastModifiedBy>
  <cp:lastPrinted>2025-12-31T19:28:00Z</cp:lastPrinted>
  <dcterms:modified xsi:type="dcterms:W3CDTF">2026-01-23T08:04:33Z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396913EFD2564BD39A8785E7064901BA_13</vt:lpwstr>
  </property>
  <property fmtid="{D5CDD505-2E9C-101B-9397-08002B2CF9AE}" pid="4" name="KSOTemplateDocerSaveRecord">
    <vt:lpwstr>eyJoZGlkIjoiNzI4YmRlMjk3ZTY4NDE1OTUyOTVkMmZlYTY0YWVlMjAiLCJ1c2VySWQiOiIzNjQxOTc4OTEifQ==</vt:lpwstr>
  </property>
</Properties>
</file>