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44ED7">
      <w:pPr>
        <w:jc w:val="center"/>
        <w:rPr>
          <w:rStyle w:val="7"/>
          <w:rFonts w:ascii="方正小标宋简体" w:eastAsia="方正小标宋简体"/>
          <w:bCs w:val="0"/>
          <w:color w:val="000000"/>
          <w:sz w:val="36"/>
          <w:szCs w:val="36"/>
        </w:rPr>
      </w:pPr>
      <w:r>
        <w:rPr>
          <w:rStyle w:val="7"/>
          <w:rFonts w:hint="eastAsia" w:ascii="方正小标宋简体" w:eastAsia="方正小标宋简体"/>
          <w:b w:val="0"/>
          <w:color w:val="000000"/>
          <w:sz w:val="36"/>
          <w:szCs w:val="36"/>
        </w:rPr>
        <w:t>浙江省科学技术奖</w:t>
      </w:r>
      <w:r>
        <w:rPr>
          <w:rStyle w:val="7"/>
          <w:rFonts w:ascii="方正小标宋简体" w:eastAsia="方正小标宋简体"/>
          <w:b w:val="0"/>
          <w:color w:val="000000"/>
          <w:sz w:val="36"/>
          <w:szCs w:val="36"/>
        </w:rPr>
        <w:t>公示信息表</w:t>
      </w:r>
    </w:p>
    <w:p w14:paraId="5D115AC1">
      <w:pPr>
        <w:spacing w:line="440" w:lineRule="exact"/>
        <w:rPr>
          <w:rFonts w:hint="eastAsia" w:ascii="仿宋_GB2312" w:hAnsi="仿宋" w:eastAsia="仿宋_GB2312" w:cs="仿宋"/>
          <w:color w:val="000000" w:themeColor="text1"/>
          <w:sz w:val="28"/>
          <w:szCs w:val="24"/>
          <w14:textFill>
            <w14:solidFill>
              <w14:schemeClr w14:val="tx1"/>
            </w14:solidFill>
          </w14:textFill>
        </w:rPr>
      </w:pPr>
      <w:r>
        <w:rPr>
          <w:rFonts w:hint="eastAsia" w:ascii="仿宋_GB2312" w:hAnsi="仿宋" w:eastAsia="仿宋_GB2312" w:cs="仿宋"/>
          <w:color w:val="000000" w:themeColor="text1"/>
          <w:sz w:val="28"/>
          <w:szCs w:val="24"/>
          <w14:textFill>
            <w14:solidFill>
              <w14:schemeClr w14:val="tx1"/>
            </w14:solidFill>
          </w14:textFill>
        </w:rPr>
        <w:t>提名奖项：科学技术进步奖</w:t>
      </w:r>
    </w:p>
    <w:tbl>
      <w:tblPr>
        <w:tblStyle w:val="5"/>
        <w:tblW w:w="850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9"/>
        <w:gridCol w:w="6237"/>
      </w:tblGrid>
      <w:tr w14:paraId="00B82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2269" w:type="dxa"/>
            <w:vAlign w:val="center"/>
          </w:tcPr>
          <w:p w14:paraId="7DD39758">
            <w:pPr>
              <w:jc w:val="center"/>
              <w:rPr>
                <w:rStyle w:val="7"/>
                <w:rFonts w:hint="eastAsia" w:ascii="仿宋_GB2312" w:hAnsi="仿宋" w:eastAsia="仿宋_GB2312" w:cs="仿宋"/>
                <w:b w:val="0"/>
                <w:color w:val="000000"/>
                <w:sz w:val="28"/>
              </w:rPr>
            </w:pPr>
            <w:r>
              <w:rPr>
                <w:rStyle w:val="7"/>
                <w:rFonts w:hint="eastAsia" w:ascii="仿宋_GB2312" w:hAnsi="仿宋" w:eastAsia="仿宋_GB2312" w:cs="仿宋"/>
                <w:b w:val="0"/>
                <w:bCs w:val="0"/>
                <w:color w:val="000000"/>
                <w:sz w:val="28"/>
              </w:rPr>
              <w:t>成果名称</w:t>
            </w:r>
          </w:p>
        </w:tc>
        <w:tc>
          <w:tcPr>
            <w:tcW w:w="6237" w:type="dxa"/>
            <w:vAlign w:val="center"/>
          </w:tcPr>
          <w:p w14:paraId="39620720">
            <w:pPr>
              <w:jc w:val="left"/>
              <w:rPr>
                <w:rFonts w:hint="eastAsia" w:eastAsia="仿宋_GB2312"/>
                <w:bCs/>
                <w:sz w:val="24"/>
                <w:szCs w:val="24"/>
              </w:rPr>
            </w:pPr>
            <w:bookmarkStart w:id="0" w:name="_Hlk174077140"/>
            <w:r>
              <w:rPr>
                <w:rFonts w:hint="eastAsia" w:eastAsia="仿宋_GB2312"/>
                <w:bCs/>
                <w:sz w:val="24"/>
                <w:szCs w:val="24"/>
              </w:rPr>
              <w:t>基于表观遗传组学的头颈肿瘤发病机理与关键诊疗技术的创研与应用</w:t>
            </w:r>
            <w:bookmarkEnd w:id="0"/>
          </w:p>
        </w:tc>
      </w:tr>
      <w:tr w14:paraId="24BD0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2269" w:type="dxa"/>
            <w:vAlign w:val="center"/>
          </w:tcPr>
          <w:p w14:paraId="350B5832">
            <w:pPr>
              <w:jc w:val="center"/>
              <w:rPr>
                <w:rStyle w:val="7"/>
                <w:rFonts w:hint="eastAsia" w:ascii="仿宋_GB2312" w:hAnsi="仿宋" w:eastAsia="仿宋_GB2312" w:cs="仿宋"/>
                <w:b w:val="0"/>
                <w:color w:val="000000"/>
                <w:sz w:val="28"/>
              </w:rPr>
            </w:pPr>
            <w:r>
              <w:rPr>
                <w:rStyle w:val="7"/>
                <w:rFonts w:hint="eastAsia" w:ascii="仿宋_GB2312" w:hAnsi="仿宋" w:eastAsia="仿宋_GB2312" w:cs="仿宋"/>
                <w:b w:val="0"/>
                <w:bCs w:val="0"/>
                <w:color w:val="000000"/>
                <w:sz w:val="28"/>
              </w:rPr>
              <w:t>提名等级</w:t>
            </w:r>
          </w:p>
        </w:tc>
        <w:tc>
          <w:tcPr>
            <w:tcW w:w="6237" w:type="dxa"/>
            <w:vAlign w:val="center"/>
          </w:tcPr>
          <w:p w14:paraId="0F435268">
            <w:pPr>
              <w:jc w:val="left"/>
              <w:rPr>
                <w:rFonts w:hint="eastAsia" w:eastAsia="仿宋_GB2312"/>
                <w:bCs/>
                <w:sz w:val="24"/>
                <w:szCs w:val="24"/>
              </w:rPr>
            </w:pPr>
            <w:r>
              <w:rPr>
                <w:rFonts w:hint="eastAsia" w:eastAsia="仿宋_GB2312"/>
                <w:bCs/>
                <w:sz w:val="24"/>
                <w:szCs w:val="24"/>
              </w:rPr>
              <w:t>二等奖</w:t>
            </w:r>
          </w:p>
        </w:tc>
      </w:tr>
      <w:tr w14:paraId="7E213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8" w:hRule="atLeast"/>
        </w:trPr>
        <w:tc>
          <w:tcPr>
            <w:tcW w:w="2269" w:type="dxa"/>
            <w:vAlign w:val="center"/>
          </w:tcPr>
          <w:p w14:paraId="04049350">
            <w:pPr>
              <w:spacing w:line="440" w:lineRule="exact"/>
              <w:jc w:val="center"/>
              <w:rPr>
                <w:rFonts w:hint="eastAsia" w:ascii="仿宋_GB2312" w:hAnsi="仿宋" w:eastAsia="仿宋_GB2312" w:cs="仿宋"/>
                <w:bCs/>
                <w:color w:val="000000" w:themeColor="text1"/>
                <w:sz w:val="28"/>
                <w:szCs w:val="24"/>
                <w14:textFill>
                  <w14:solidFill>
                    <w14:schemeClr w14:val="tx1"/>
                  </w14:solidFill>
                </w14:textFill>
              </w:rPr>
            </w:pPr>
            <w:r>
              <w:rPr>
                <w:rFonts w:hint="eastAsia" w:ascii="仿宋_GB2312" w:hAnsi="仿宋" w:eastAsia="仿宋_GB2312" w:cs="仿宋"/>
                <w:bCs/>
                <w:color w:val="000000" w:themeColor="text1"/>
                <w:sz w:val="28"/>
                <w:szCs w:val="24"/>
                <w14:textFill>
                  <w14:solidFill>
                    <w14:schemeClr w14:val="tx1"/>
                  </w14:solidFill>
                </w14:textFill>
              </w:rPr>
              <w:t>提名书</w:t>
            </w:r>
          </w:p>
          <w:p w14:paraId="3E941853">
            <w:pPr>
              <w:spacing w:line="440" w:lineRule="exact"/>
              <w:jc w:val="center"/>
              <w:rPr>
                <w:rFonts w:hint="eastAsia" w:ascii="仿宋_GB2312" w:hAnsi="仿宋" w:eastAsia="仿宋_GB2312" w:cs="仿宋"/>
                <w:bCs/>
                <w:color w:val="000000" w:themeColor="text1"/>
                <w:sz w:val="28"/>
                <w:szCs w:val="24"/>
                <w14:textFill>
                  <w14:solidFill>
                    <w14:schemeClr w14:val="tx1"/>
                  </w14:solidFill>
                </w14:textFill>
              </w:rPr>
            </w:pPr>
            <w:r>
              <w:rPr>
                <w:rFonts w:hint="eastAsia" w:ascii="仿宋_GB2312" w:hAnsi="仿宋" w:eastAsia="仿宋_GB2312" w:cs="仿宋"/>
                <w:bCs/>
                <w:color w:val="000000" w:themeColor="text1"/>
                <w:sz w:val="28"/>
                <w:szCs w:val="24"/>
                <w14:textFill>
                  <w14:solidFill>
                    <w14:schemeClr w14:val="tx1"/>
                  </w14:solidFill>
                </w14:textFill>
              </w:rPr>
              <w:t>相关内容</w:t>
            </w:r>
          </w:p>
        </w:tc>
        <w:tc>
          <w:tcPr>
            <w:tcW w:w="6237" w:type="dxa"/>
            <w:vAlign w:val="center"/>
          </w:tcPr>
          <w:p w14:paraId="7AF4A3DD">
            <w:pPr>
              <w:spacing w:line="360" w:lineRule="auto"/>
              <w:ind w:left="381" w:leftChars="31" w:hanging="316" w:hangingChars="150"/>
              <w:rPr>
                <w:rFonts w:hint="eastAsia"/>
                <w:b/>
                <w:bCs/>
              </w:rPr>
            </w:pPr>
            <w:r>
              <w:rPr>
                <w:rFonts w:hint="eastAsia"/>
                <w:b/>
                <w:bCs/>
              </w:rPr>
              <w:t>代表性论文</w:t>
            </w:r>
          </w:p>
          <w:p w14:paraId="163F4442">
            <w:pPr>
              <w:numPr>
                <w:ilvl w:val="0"/>
                <w:numId w:val="1"/>
              </w:numPr>
              <w:snapToGrid w:val="0"/>
              <w:spacing w:line="360" w:lineRule="auto"/>
              <w:ind w:left="380" w:leftChars="31" w:hanging="315" w:hangingChars="150"/>
              <w:rPr>
                <w:kern w:val="0"/>
                <w:szCs w:val="21"/>
                <w14:ligatures w14:val="standardContextual"/>
              </w:rPr>
            </w:pPr>
            <w:r>
              <w:rPr>
                <w:kern w:val="0"/>
                <w:szCs w:val="21"/>
                <w14:ligatures w14:val="standardContextual"/>
              </w:rPr>
              <w:t xml:space="preserve">Hanyi He, Xinlu Wang, Yueyue Lu, Xiaojiang Lin, Yuandong Li, Yong Li, Zhihong Lin, Zhiqi Ma, Xiaolin Cao, Yaoshu Teng. Comprehensive Analysis of Sinonasal Inverted Papilloma Expression Profiles Identifies Long Non-Coding RNA AKTIP as a Potential Biomarker. Front Genet. 2022, 13:831759. </w:t>
            </w:r>
          </w:p>
          <w:p w14:paraId="142A4BE8">
            <w:pPr>
              <w:numPr>
                <w:ilvl w:val="0"/>
                <w:numId w:val="1"/>
              </w:numPr>
              <w:snapToGrid w:val="0"/>
              <w:spacing w:line="360" w:lineRule="auto"/>
              <w:rPr>
                <w:kern w:val="0"/>
                <w:szCs w:val="21"/>
              </w:rPr>
            </w:pPr>
            <w:r>
              <w:rPr>
                <w:kern w:val="0"/>
                <w:szCs w:val="21"/>
              </w:rPr>
              <w:t xml:space="preserve">Qian Y, Teng Y, Li Y, Lin X, Guan M, Li Y, Cao X, Gao Y. MiR-143-3p suppresses the progression of nasal squamous cell carcinoma by targeting Bcl-2 and IGF1R. Biochem Biophys Res Commun. 2019, 518(3):492-499. </w:t>
            </w:r>
          </w:p>
          <w:p w14:paraId="35AEB20A">
            <w:pPr>
              <w:numPr>
                <w:ilvl w:val="0"/>
                <w:numId w:val="1"/>
              </w:numPr>
              <w:snapToGrid w:val="0"/>
              <w:spacing w:line="360" w:lineRule="auto"/>
              <w:rPr>
                <w:kern w:val="0"/>
                <w:szCs w:val="21"/>
                <w14:ligatures w14:val="standardContextual"/>
              </w:rPr>
            </w:pPr>
            <w:r>
              <w:rPr>
                <w:kern w:val="0"/>
                <w:szCs w:val="21"/>
                <w14:ligatures w14:val="standardContextual"/>
              </w:rPr>
              <w:t>Teng Y, Li Y, Lin Z, Gao Y, Cao X, Lou X, Lin F, Li Y. Analysis of miRNA expression profiling identifies miR-214-3p as a novel biomarker in sinonasal inverted papilloma. Epigenomics. 2018, 10(12): 1541–1553.</w:t>
            </w:r>
          </w:p>
          <w:p w14:paraId="09F0EA4D">
            <w:pPr>
              <w:pStyle w:val="10"/>
              <w:numPr>
                <w:ilvl w:val="0"/>
                <w:numId w:val="1"/>
              </w:numPr>
              <w:tabs>
                <w:tab w:val="left" w:pos="764"/>
              </w:tabs>
              <w:autoSpaceDE w:val="0"/>
              <w:autoSpaceDN w:val="0"/>
              <w:snapToGrid w:val="0"/>
              <w:spacing w:line="360" w:lineRule="auto"/>
              <w:ind w:right="224" w:firstLineChars="0"/>
              <w:rPr>
                <w:kern w:val="0"/>
                <w:szCs w:val="21"/>
              </w:rPr>
            </w:pPr>
            <w:r>
              <w:rPr>
                <w:kern w:val="0"/>
                <w:szCs w:val="21"/>
              </w:rPr>
              <w:t xml:space="preserve">He HY, Huang YX, Lu YY, Wang XL, Ni HF, Wu YH, Xia DJ, Ye D, Ding JW, Mao, YJ, Teng YS. Effect of benzo[a]pyrene on proliferation and metastasis of oral squamous cell carcinoma cells: A transcriptome analysis based on RNA-seq. Environmental Toxicology. 2022, 37(11):2589-2604. </w:t>
            </w:r>
          </w:p>
          <w:p w14:paraId="4B7CA09D">
            <w:pPr>
              <w:pStyle w:val="4"/>
              <w:numPr>
                <w:ilvl w:val="0"/>
                <w:numId w:val="1"/>
              </w:numPr>
              <w:snapToGrid w:val="0"/>
              <w:spacing w:before="0" w:beforeAutospacing="0" w:after="0" w:afterAutospacing="0" w:line="360" w:lineRule="auto"/>
              <w:jc w:val="both"/>
              <w:rPr>
                <w:rFonts w:ascii="Times New Roman" w:hAnsi="Times New Roman" w:cs="Times New Roman"/>
                <w:sz w:val="21"/>
                <w:szCs w:val="21"/>
                <w14:ligatures w14:val="standardContextual"/>
              </w:rPr>
            </w:pPr>
            <w:r>
              <w:rPr>
                <w:rFonts w:ascii="Times New Roman" w:hAnsi="Times New Roman" w:cs="Times New Roman"/>
                <w:sz w:val="21"/>
                <w:szCs w:val="21"/>
                <w14:ligatures w14:val="standardContextual"/>
              </w:rPr>
              <w:t xml:space="preserve">Haifeng Ni, Bo Jiang, Zhen Zhou, Xiaoyang Yuan, Xiaolin Cao, Guangwu Huang, Yong Li. Inactivation of MSH3 by promoter methylation correlates with primary tumor stage in nasopharyngeal carcinoma. Int J Mol Med. 2017, 40(3):673-678. </w:t>
            </w:r>
          </w:p>
          <w:p w14:paraId="072A90EA">
            <w:pPr>
              <w:pStyle w:val="4"/>
              <w:numPr>
                <w:ilvl w:val="0"/>
                <w:numId w:val="1"/>
              </w:numPr>
              <w:snapToGrid w:val="0"/>
              <w:spacing w:before="0" w:beforeAutospacing="0" w:after="0" w:afterAutospacing="0" w:line="360" w:lineRule="auto"/>
              <w:jc w:val="both"/>
              <w:rPr>
                <w:rFonts w:ascii="Times New Roman" w:hAnsi="Times New Roman" w:cs="Times New Roman"/>
                <w:sz w:val="21"/>
                <w:szCs w:val="21"/>
                <w14:ligatures w14:val="standardContextual"/>
              </w:rPr>
            </w:pPr>
            <w:r>
              <w:rPr>
                <w:rFonts w:ascii="Times New Roman" w:hAnsi="Times New Roman" w:cs="Times New Roman"/>
                <w:sz w:val="21"/>
                <w:szCs w:val="21"/>
                <w14:ligatures w14:val="standardContextual"/>
              </w:rPr>
              <w:t>Ye D, Gong MD, Deng YQ, Fang S, Cao YJ, Xiang YZ, Shen ZS. Roles and Clinical Application of Exosomal CircRNAs in the Diagnosis and Treatment of Malignant Tumors.</w:t>
            </w:r>
            <w:bookmarkStart w:id="1" w:name="OLE_LINK13"/>
            <w:r>
              <w:rPr>
                <w:rFonts w:ascii="Times New Roman" w:hAnsi="Times New Roman" w:cs="Times New Roman"/>
                <w:sz w:val="21"/>
                <w:szCs w:val="21"/>
                <w14:ligatures w14:val="standardContextual"/>
              </w:rPr>
              <w:t>J Transl Med</w:t>
            </w:r>
            <w:bookmarkEnd w:id="1"/>
            <w:r>
              <w:rPr>
                <w:rFonts w:ascii="Times New Roman" w:hAnsi="Times New Roman" w:cs="Times New Roman"/>
                <w:sz w:val="21"/>
                <w:szCs w:val="21"/>
                <w14:ligatures w14:val="standardContextual"/>
              </w:rPr>
              <w:t xml:space="preserve">. 2022, 20(1):161. </w:t>
            </w:r>
          </w:p>
          <w:p w14:paraId="0D55A15B">
            <w:pPr>
              <w:pStyle w:val="4"/>
              <w:numPr>
                <w:ilvl w:val="0"/>
                <w:numId w:val="1"/>
              </w:numPr>
              <w:snapToGrid w:val="0"/>
              <w:spacing w:before="0" w:beforeAutospacing="0" w:after="0" w:afterAutospacing="0" w:line="360" w:lineRule="auto"/>
              <w:jc w:val="both"/>
              <w:rPr>
                <w:rFonts w:ascii="Times New Roman" w:hAnsi="Times New Roman" w:cs="Times New Roman"/>
                <w:sz w:val="21"/>
                <w:szCs w:val="21"/>
                <w14:ligatures w14:val="standardContextual"/>
              </w:rPr>
            </w:pPr>
            <w:r>
              <w:rPr>
                <w:rFonts w:ascii="Times New Roman" w:hAnsi="Times New Roman" w:cs="Times New Roman"/>
                <w:sz w:val="21"/>
                <w:szCs w:val="21"/>
                <w14:ligatures w14:val="standardContextual"/>
              </w:rPr>
              <w:t>Dong Ye, Yongqin Deng, Zhisen Shen. The Role and Mechanism of MALAT1 Long Non-Coding RNA in the Diagnosis and Treatment of Head and Neck Squamous Cell Carcinoma. Onco Targets Ther. 2021,14:4127-4136.</w:t>
            </w:r>
          </w:p>
          <w:p w14:paraId="291BCB5E">
            <w:pPr>
              <w:pStyle w:val="10"/>
              <w:numPr>
                <w:ilvl w:val="0"/>
                <w:numId w:val="1"/>
              </w:numPr>
              <w:tabs>
                <w:tab w:val="left" w:pos="764"/>
              </w:tabs>
              <w:autoSpaceDE w:val="0"/>
              <w:autoSpaceDN w:val="0"/>
              <w:snapToGrid w:val="0"/>
              <w:spacing w:line="360" w:lineRule="auto"/>
              <w:ind w:right="224" w:firstLineChars="0"/>
              <w:rPr>
                <w:kern w:val="0"/>
                <w:szCs w:val="21"/>
              </w:rPr>
            </w:pPr>
            <w:r>
              <w:rPr>
                <w:kern w:val="0"/>
                <w:szCs w:val="21"/>
              </w:rPr>
              <w:t>Dong Ye, Chongchang Zhou, Hongxia Deng, Lexi Lin, Shuihong Zhou. MicroRNA-145 inhibits growth of laryngeal squamous cell carcinoma by targeting the PI3K/Akt signaling pathway. Cancer Manag Res. 2019, 11:3801-3812.</w:t>
            </w:r>
          </w:p>
          <w:p w14:paraId="3415B25C">
            <w:pPr>
              <w:pStyle w:val="10"/>
              <w:numPr>
                <w:ilvl w:val="0"/>
                <w:numId w:val="1"/>
              </w:numPr>
              <w:tabs>
                <w:tab w:val="left" w:pos="764"/>
              </w:tabs>
              <w:autoSpaceDE w:val="0"/>
              <w:autoSpaceDN w:val="0"/>
              <w:snapToGrid w:val="0"/>
              <w:spacing w:line="360" w:lineRule="auto"/>
              <w:ind w:right="224" w:firstLineChars="0"/>
              <w:rPr>
                <w:rFonts w:ascii="Times New Roman" w:hAnsi="Times New Roman" w:eastAsia="仿宋_GB2312" w:cs="Times New Roman"/>
                <w:bCs/>
                <w:kern w:val="2"/>
                <w:sz w:val="24"/>
                <w:szCs w:val="24"/>
                <w:lang w:val="en-US" w:eastAsia="zh-CN" w:bidi="ar-SA"/>
              </w:rPr>
            </w:pPr>
            <w:r>
              <w:rPr>
                <w:rFonts w:ascii="Times New Roman" w:hAnsi="Times New Roman" w:eastAsia="仿宋_GB2312" w:cs="Times New Roman"/>
                <w:bCs/>
                <w:kern w:val="2"/>
                <w:sz w:val="24"/>
                <w:szCs w:val="24"/>
                <w:lang w:val="en-US" w:eastAsia="zh-CN" w:bidi="ar-SA"/>
              </w:rPr>
              <w:t>倪海峰, 李勇, 黄光武, 江波, 施紫光. 鼻咽刷洗物MSH2和RUNX3基因甲基化在鼻咽癌早期诊断及预后判断中作用. 解放军医学杂志. 2012, 37(09): 879-883.</w:t>
            </w:r>
          </w:p>
          <w:p w14:paraId="227503D8">
            <w:pPr>
              <w:pStyle w:val="10"/>
              <w:numPr>
                <w:ilvl w:val="0"/>
                <w:numId w:val="1"/>
              </w:numPr>
              <w:tabs>
                <w:tab w:val="left" w:pos="764"/>
              </w:tabs>
              <w:autoSpaceDE w:val="0"/>
              <w:autoSpaceDN w:val="0"/>
              <w:snapToGrid w:val="0"/>
              <w:spacing w:line="360" w:lineRule="auto"/>
              <w:ind w:right="224" w:firstLineChars="0"/>
              <w:rPr>
                <w:rFonts w:hint="eastAsia" w:ascii="仿宋_GB2312" w:hAnsi="仿宋" w:eastAsia="仿宋_GB2312" w:cs="仿宋"/>
                <w:bCs/>
                <w:color w:val="000000" w:themeColor="text1"/>
                <w:sz w:val="24"/>
                <w:szCs w:val="24"/>
                <w14:textFill>
                  <w14:solidFill>
                    <w14:schemeClr w14:val="tx1"/>
                  </w14:solidFill>
                </w14:textFill>
              </w:rPr>
            </w:pPr>
            <w:r>
              <w:rPr>
                <w:rFonts w:ascii="Times New Roman" w:hAnsi="Times New Roman" w:eastAsia="仿宋_GB2312" w:cs="Times New Roman"/>
                <w:bCs/>
                <w:kern w:val="2"/>
                <w:sz w:val="24"/>
                <w:szCs w:val="24"/>
                <w:lang w:val="en-US" w:eastAsia="zh-CN" w:bidi="ar-SA"/>
              </w:rPr>
              <w:t>丁金旺, 张煜, 王克义, 屠巧峰, 时晶晶, 张卧, 彭友, 潘钢, 叶柳青, 罗定存. 长链非编码RNA在甲状腺乳头状癌中的表达谱分析. 中国耳鼻咽喉头颈外科. 2016, 23(05): 293-294.</w:t>
            </w:r>
          </w:p>
        </w:tc>
      </w:tr>
      <w:tr w14:paraId="50BB8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8" w:hRule="atLeast"/>
        </w:trPr>
        <w:tc>
          <w:tcPr>
            <w:tcW w:w="2269" w:type="dxa"/>
            <w:tcBorders>
              <w:right w:val="single" w:color="auto" w:sz="4" w:space="0"/>
            </w:tcBorders>
            <w:vAlign w:val="center"/>
          </w:tcPr>
          <w:p w14:paraId="5ADBD892">
            <w:pPr>
              <w:spacing w:line="440" w:lineRule="exact"/>
              <w:jc w:val="center"/>
              <w:rPr>
                <w:rFonts w:hint="eastAsia" w:ascii="仿宋_GB2312" w:hAnsi="仿宋" w:eastAsia="仿宋_GB2312" w:cs="仿宋"/>
                <w:bCs/>
                <w:color w:val="000000" w:themeColor="text1"/>
                <w:sz w:val="28"/>
                <w:szCs w:val="24"/>
                <w14:textFill>
                  <w14:solidFill>
                    <w14:schemeClr w14:val="tx1"/>
                  </w14:solidFill>
                </w14:textFill>
              </w:rPr>
            </w:pPr>
            <w:r>
              <w:rPr>
                <w:rFonts w:hint="eastAsia" w:ascii="仿宋_GB2312" w:hAnsi="仿宋" w:eastAsia="仿宋_GB2312" w:cs="仿宋"/>
                <w:bCs/>
                <w:color w:val="000000" w:themeColor="text1"/>
                <w:sz w:val="28"/>
                <w:szCs w:val="24"/>
                <w14:textFill>
                  <w14:solidFill>
                    <w14:schemeClr w14:val="tx1"/>
                  </w14:solidFill>
                </w14:textFill>
              </w:rPr>
              <w:t>主要完成人</w:t>
            </w:r>
          </w:p>
        </w:tc>
        <w:tc>
          <w:tcPr>
            <w:tcW w:w="6237" w:type="dxa"/>
            <w:tcBorders>
              <w:left w:val="single" w:color="auto" w:sz="4" w:space="0"/>
            </w:tcBorders>
            <w:vAlign w:val="center"/>
          </w:tcPr>
          <w:p w14:paraId="14B70A67">
            <w:pPr>
              <w:jc w:val="left"/>
              <w:rPr>
                <w:rFonts w:eastAsia="仿宋_GB2312"/>
                <w:bCs/>
                <w:sz w:val="24"/>
                <w:szCs w:val="24"/>
                <w:lang w:val="en-US" w:eastAsia="zh-CN"/>
              </w:rPr>
            </w:pPr>
            <w:r>
              <w:rPr>
                <w:rFonts w:eastAsia="仿宋_GB2312"/>
                <w:bCs/>
                <w:sz w:val="24"/>
                <w:szCs w:val="24"/>
                <w:lang w:val="en-US" w:eastAsia="zh-CN"/>
              </w:rPr>
              <w:t>滕尧树，排名1，副主任医师，杭州市第一人民医院；</w:t>
            </w:r>
          </w:p>
          <w:p w14:paraId="4D16D8D3">
            <w:pPr>
              <w:jc w:val="left"/>
              <w:rPr>
                <w:rFonts w:eastAsia="仿宋_GB2312"/>
                <w:bCs/>
                <w:sz w:val="24"/>
                <w:szCs w:val="24"/>
                <w:lang w:val="en-US" w:eastAsia="zh-CN"/>
              </w:rPr>
            </w:pPr>
            <w:r>
              <w:rPr>
                <w:rFonts w:eastAsia="仿宋_GB2312"/>
                <w:bCs/>
                <w:sz w:val="24"/>
                <w:szCs w:val="24"/>
                <w:lang w:val="en-US" w:eastAsia="zh-CN"/>
              </w:rPr>
              <w:t>倪海峰，排名2，主任医师，浙江医院；</w:t>
            </w:r>
          </w:p>
          <w:p w14:paraId="0088F477">
            <w:pPr>
              <w:jc w:val="left"/>
              <w:rPr>
                <w:rFonts w:eastAsia="仿宋_GB2312"/>
                <w:bCs/>
                <w:sz w:val="24"/>
                <w:szCs w:val="24"/>
                <w:lang w:val="en-US" w:eastAsia="zh-CN"/>
              </w:rPr>
            </w:pPr>
            <w:r>
              <w:rPr>
                <w:rFonts w:eastAsia="仿宋_GB2312"/>
                <w:bCs/>
                <w:sz w:val="24"/>
                <w:szCs w:val="24"/>
                <w:lang w:val="en-US" w:eastAsia="zh-CN"/>
              </w:rPr>
              <w:t>叶栋，排名</w:t>
            </w:r>
            <w:r>
              <w:rPr>
                <w:rFonts w:hint="eastAsia" w:eastAsia="仿宋_GB2312"/>
                <w:bCs/>
                <w:sz w:val="24"/>
                <w:szCs w:val="24"/>
                <w:lang w:val="en-US" w:eastAsia="zh-CN"/>
              </w:rPr>
              <w:t>3</w:t>
            </w:r>
            <w:r>
              <w:rPr>
                <w:rFonts w:eastAsia="仿宋_GB2312"/>
                <w:bCs/>
                <w:sz w:val="24"/>
                <w:szCs w:val="24"/>
                <w:lang w:val="en-US" w:eastAsia="zh-CN"/>
              </w:rPr>
              <w:t>，主任医师，宁波市医疗中心李惠利医院；</w:t>
            </w:r>
          </w:p>
          <w:p w14:paraId="21173C98">
            <w:pPr>
              <w:jc w:val="left"/>
              <w:rPr>
                <w:rFonts w:eastAsia="仿宋_GB2312"/>
                <w:bCs/>
                <w:sz w:val="24"/>
                <w:szCs w:val="24"/>
                <w:lang w:val="en-US" w:eastAsia="zh-CN"/>
              </w:rPr>
            </w:pPr>
            <w:r>
              <w:rPr>
                <w:rFonts w:eastAsia="仿宋_GB2312"/>
                <w:bCs/>
                <w:sz w:val="24"/>
                <w:szCs w:val="24"/>
                <w:lang w:val="en-US" w:eastAsia="zh-CN"/>
              </w:rPr>
              <w:t>林志宏，排名</w:t>
            </w:r>
            <w:r>
              <w:rPr>
                <w:rFonts w:hint="eastAsia" w:eastAsia="仿宋_GB2312"/>
                <w:bCs/>
                <w:sz w:val="24"/>
                <w:szCs w:val="24"/>
                <w:lang w:val="en-US" w:eastAsia="zh-CN"/>
              </w:rPr>
              <w:t>4</w:t>
            </w:r>
            <w:r>
              <w:rPr>
                <w:rFonts w:eastAsia="仿宋_GB2312"/>
                <w:bCs/>
                <w:sz w:val="24"/>
                <w:szCs w:val="24"/>
                <w:lang w:val="en-US" w:eastAsia="zh-CN"/>
              </w:rPr>
              <w:t>，主任医师，浙江大学医学院附属第二医院；</w:t>
            </w:r>
          </w:p>
          <w:p w14:paraId="137C5203">
            <w:pPr>
              <w:jc w:val="left"/>
              <w:rPr>
                <w:rFonts w:eastAsia="仿宋_GB2312"/>
                <w:bCs/>
                <w:sz w:val="24"/>
                <w:szCs w:val="24"/>
                <w:lang w:val="en-US" w:eastAsia="zh-CN"/>
              </w:rPr>
            </w:pPr>
            <w:r>
              <w:rPr>
                <w:rFonts w:eastAsia="仿宋_GB2312"/>
                <w:bCs/>
                <w:sz w:val="24"/>
                <w:szCs w:val="24"/>
                <w:lang w:val="en-US" w:eastAsia="zh-CN"/>
              </w:rPr>
              <w:t>丁金旺，排名</w:t>
            </w:r>
            <w:r>
              <w:rPr>
                <w:rFonts w:hint="eastAsia" w:eastAsia="仿宋_GB2312"/>
                <w:bCs/>
                <w:sz w:val="24"/>
                <w:szCs w:val="24"/>
                <w:lang w:val="en-US" w:eastAsia="zh-CN"/>
              </w:rPr>
              <w:t>5</w:t>
            </w:r>
            <w:r>
              <w:rPr>
                <w:rFonts w:eastAsia="仿宋_GB2312"/>
                <w:bCs/>
                <w:sz w:val="24"/>
                <w:szCs w:val="24"/>
                <w:lang w:val="en-US" w:eastAsia="zh-CN"/>
              </w:rPr>
              <w:t>，副主任医师，浙江省肿瘤医院；</w:t>
            </w:r>
          </w:p>
          <w:p w14:paraId="23630450">
            <w:pPr>
              <w:jc w:val="left"/>
              <w:rPr>
                <w:rFonts w:eastAsia="仿宋_GB2312"/>
                <w:bCs/>
                <w:sz w:val="24"/>
                <w:szCs w:val="24"/>
                <w:lang w:val="en-US" w:eastAsia="zh-CN"/>
              </w:rPr>
            </w:pPr>
            <w:r>
              <w:rPr>
                <w:rFonts w:eastAsia="仿宋_GB2312"/>
                <w:bCs/>
                <w:sz w:val="24"/>
                <w:szCs w:val="24"/>
                <w:lang w:val="en-US" w:eastAsia="zh-CN"/>
              </w:rPr>
              <w:t>曹晓林，排名6，主任医师，杭州市第一人民医院；</w:t>
            </w:r>
          </w:p>
          <w:p w14:paraId="7366FB17">
            <w:pPr>
              <w:jc w:val="left"/>
              <w:rPr>
                <w:rFonts w:hint="eastAsia" w:ascii="仿宋_GB2312" w:hAnsi="仿宋" w:eastAsia="仿宋_GB2312" w:cs="仿宋"/>
                <w:bCs/>
                <w:color w:val="000000" w:themeColor="text1"/>
                <w:sz w:val="24"/>
                <w:szCs w:val="24"/>
                <w14:textFill>
                  <w14:solidFill>
                    <w14:schemeClr w14:val="tx1"/>
                  </w14:solidFill>
                </w14:textFill>
              </w:rPr>
            </w:pPr>
            <w:r>
              <w:rPr>
                <w:rFonts w:eastAsia="仿宋_GB2312"/>
                <w:bCs/>
                <w:sz w:val="24"/>
                <w:szCs w:val="24"/>
                <w:lang w:val="en-US" w:eastAsia="zh-CN"/>
              </w:rPr>
              <w:t>李勇，排名7，主任医师，杭州市第一人民医院；</w:t>
            </w:r>
          </w:p>
        </w:tc>
      </w:tr>
      <w:tr w14:paraId="16107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7" w:hRule="atLeast"/>
        </w:trPr>
        <w:tc>
          <w:tcPr>
            <w:tcW w:w="2269" w:type="dxa"/>
            <w:tcBorders>
              <w:right w:val="single" w:color="auto" w:sz="4" w:space="0"/>
            </w:tcBorders>
            <w:vAlign w:val="center"/>
          </w:tcPr>
          <w:p w14:paraId="45E1C2C6">
            <w:pPr>
              <w:spacing w:line="440" w:lineRule="exact"/>
              <w:jc w:val="center"/>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8"/>
                <w:szCs w:val="24"/>
                <w14:textFill>
                  <w14:solidFill>
                    <w14:schemeClr w14:val="tx1"/>
                  </w14:solidFill>
                </w14:textFill>
              </w:rPr>
              <w:t>主要完成单位</w:t>
            </w:r>
          </w:p>
        </w:tc>
        <w:tc>
          <w:tcPr>
            <w:tcW w:w="6237" w:type="dxa"/>
            <w:tcBorders>
              <w:left w:val="single" w:color="auto" w:sz="4" w:space="0"/>
            </w:tcBorders>
            <w:vAlign w:val="center"/>
          </w:tcPr>
          <w:p w14:paraId="295AD9A3">
            <w:pPr>
              <w:jc w:val="left"/>
              <w:rPr>
                <w:rFonts w:eastAsia="仿宋_GB2312"/>
                <w:bCs/>
                <w:sz w:val="24"/>
                <w:szCs w:val="24"/>
              </w:rPr>
            </w:pPr>
            <w:r>
              <w:rPr>
                <w:rFonts w:eastAsia="仿宋_GB2312"/>
                <w:bCs/>
                <w:sz w:val="24"/>
                <w:szCs w:val="24"/>
              </w:rPr>
              <w:t>1. 杭州市第一人民医院</w:t>
            </w:r>
          </w:p>
          <w:p w14:paraId="1D5C0175">
            <w:pPr>
              <w:jc w:val="left"/>
              <w:rPr>
                <w:rFonts w:eastAsia="仿宋_GB2312"/>
                <w:bCs/>
                <w:sz w:val="24"/>
                <w:szCs w:val="24"/>
              </w:rPr>
            </w:pPr>
            <w:r>
              <w:rPr>
                <w:rFonts w:eastAsia="仿宋_GB2312"/>
                <w:bCs/>
                <w:sz w:val="24"/>
                <w:szCs w:val="24"/>
              </w:rPr>
              <w:t>2.</w:t>
            </w:r>
            <w:r>
              <w:rPr>
                <w:rFonts w:hint="eastAsia" w:eastAsia="仿宋_GB2312"/>
                <w:bCs/>
                <w:sz w:val="24"/>
                <w:szCs w:val="24"/>
              </w:rPr>
              <w:t xml:space="preserve"> </w:t>
            </w:r>
            <w:r>
              <w:rPr>
                <w:rFonts w:eastAsia="仿宋_GB2312"/>
                <w:bCs/>
                <w:sz w:val="24"/>
                <w:szCs w:val="24"/>
              </w:rPr>
              <w:t>宁波市医疗中心李惠利医院</w:t>
            </w:r>
          </w:p>
          <w:p w14:paraId="458B8F97">
            <w:pPr>
              <w:jc w:val="left"/>
              <w:rPr>
                <w:rFonts w:hint="eastAsia" w:ascii="仿宋" w:hAnsi="仿宋" w:eastAsia="仿宋" w:cs="仿宋"/>
                <w:bCs/>
                <w:color w:val="000000" w:themeColor="text1"/>
                <w:sz w:val="24"/>
                <w:szCs w:val="24"/>
                <w14:textFill>
                  <w14:solidFill>
                    <w14:schemeClr w14:val="tx1"/>
                  </w14:solidFill>
                </w14:textFill>
              </w:rPr>
            </w:pPr>
            <w:r>
              <w:rPr>
                <w:rFonts w:eastAsia="仿宋_GB2312"/>
                <w:bCs/>
                <w:sz w:val="24"/>
                <w:szCs w:val="24"/>
              </w:rPr>
              <w:t>3.</w:t>
            </w:r>
            <w:r>
              <w:rPr>
                <w:rFonts w:hint="eastAsia" w:eastAsia="仿宋_GB2312"/>
                <w:bCs/>
                <w:sz w:val="24"/>
                <w:szCs w:val="24"/>
              </w:rPr>
              <w:t xml:space="preserve"> </w:t>
            </w:r>
            <w:r>
              <w:rPr>
                <w:rFonts w:eastAsia="仿宋_GB2312"/>
                <w:bCs/>
                <w:sz w:val="24"/>
                <w:szCs w:val="24"/>
              </w:rPr>
              <w:t>浙江大学医学院附属第二医院</w:t>
            </w:r>
          </w:p>
        </w:tc>
      </w:tr>
      <w:tr w14:paraId="5E6B8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2269" w:type="dxa"/>
            <w:vAlign w:val="center"/>
          </w:tcPr>
          <w:p w14:paraId="1184CDD6">
            <w:pPr>
              <w:jc w:val="center"/>
              <w:rPr>
                <w:rStyle w:val="7"/>
                <w:rFonts w:ascii="仿宋_GB2312" w:eastAsia="仿宋_GB2312"/>
                <w:b w:val="0"/>
                <w:color w:val="000000"/>
                <w:sz w:val="28"/>
                <w:szCs w:val="28"/>
              </w:rPr>
            </w:pPr>
            <w:r>
              <w:rPr>
                <w:rStyle w:val="7"/>
                <w:rFonts w:hint="eastAsia" w:ascii="仿宋_GB2312" w:eastAsia="仿宋_GB2312"/>
                <w:b w:val="0"/>
                <w:color w:val="000000"/>
                <w:sz w:val="28"/>
                <w:szCs w:val="28"/>
              </w:rPr>
              <w:t>提名单位</w:t>
            </w:r>
          </w:p>
        </w:tc>
        <w:tc>
          <w:tcPr>
            <w:tcW w:w="6237" w:type="dxa"/>
            <w:vAlign w:val="center"/>
          </w:tcPr>
          <w:p w14:paraId="2ED938F9">
            <w:pPr>
              <w:contextualSpacing/>
              <w:jc w:val="center"/>
              <w:rPr>
                <w:rStyle w:val="7"/>
                <w:rFonts w:hint="eastAsia" w:ascii="仿宋" w:hAnsi="仿宋" w:eastAsia="仿宋" w:cs="仿宋"/>
                <w:b w:val="0"/>
                <w:color w:val="000000"/>
              </w:rPr>
            </w:pPr>
            <w:r>
              <w:rPr>
                <w:rFonts w:hint="eastAsia" w:eastAsia="仿宋_GB2312"/>
                <w:bCs/>
                <w:sz w:val="24"/>
                <w:szCs w:val="24"/>
              </w:rPr>
              <w:t>杭州市人民政府</w:t>
            </w:r>
          </w:p>
        </w:tc>
      </w:tr>
      <w:tr w14:paraId="1211E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2269" w:type="dxa"/>
            <w:vAlign w:val="center"/>
          </w:tcPr>
          <w:p w14:paraId="5DDCCA7F">
            <w:pPr>
              <w:jc w:val="center"/>
              <w:rPr>
                <w:rStyle w:val="7"/>
                <w:rFonts w:ascii="仿宋_GB2312" w:eastAsia="仿宋_GB2312"/>
                <w:b w:val="0"/>
                <w:color w:val="000000"/>
                <w:sz w:val="28"/>
                <w:szCs w:val="28"/>
              </w:rPr>
            </w:pPr>
            <w:r>
              <w:rPr>
                <w:rStyle w:val="7"/>
                <w:rFonts w:hint="eastAsia" w:ascii="仿宋_GB2312" w:eastAsia="仿宋_GB2312"/>
                <w:b w:val="0"/>
                <w:color w:val="000000"/>
                <w:sz w:val="28"/>
                <w:szCs w:val="28"/>
              </w:rPr>
              <w:t>提名意见</w:t>
            </w:r>
          </w:p>
        </w:tc>
        <w:tc>
          <w:tcPr>
            <w:tcW w:w="6237" w:type="dxa"/>
            <w:vAlign w:val="center"/>
          </w:tcPr>
          <w:p w14:paraId="43BBC40E">
            <w:pPr>
              <w:jc w:val="left"/>
              <w:rPr>
                <w:rFonts w:eastAsia="仿宋_GB2312"/>
                <w:bCs/>
                <w:sz w:val="24"/>
                <w:szCs w:val="24"/>
                <w:lang w:val="en-US" w:eastAsia="zh-CN"/>
              </w:rPr>
            </w:pPr>
            <w:r>
              <w:rPr>
                <w:rFonts w:hint="eastAsia" w:eastAsia="仿宋_GB2312"/>
                <w:bCs/>
                <w:sz w:val="24"/>
                <w:szCs w:val="24"/>
                <w:lang w:val="en-US" w:eastAsia="zh-CN"/>
              </w:rPr>
              <w:t>头颈肿瘤种类繁多，发病机理复杂，且早期诊断及治疗较为困难。本项目从表观遗传组学的角度出发，利用生物芯片及生物信息学等技术检测了头颈肿瘤的表达谱（如miRNA表达谱、lncRNA表达谱等）及筛选了相关的分子标志物（如非编码RNA、DNA甲基化等），并建立了无创/微创（鼻咽刷洗物、血浆等）临床辅助的分子诊断方法，构建了液体活检体系，可用于头颈肿瘤的早期诊断、预警及预后判断。</w:t>
            </w:r>
          </w:p>
          <w:p w14:paraId="221F6598">
            <w:pPr>
              <w:jc w:val="left"/>
              <w:rPr>
                <w:rFonts w:eastAsia="仿宋_GB2312"/>
                <w:bCs/>
                <w:sz w:val="24"/>
                <w:szCs w:val="24"/>
                <w:lang w:val="en-US" w:eastAsia="zh-CN"/>
              </w:rPr>
            </w:pPr>
            <w:r>
              <w:rPr>
                <w:rFonts w:hint="eastAsia" w:eastAsia="仿宋_GB2312"/>
                <w:bCs/>
                <w:sz w:val="24"/>
                <w:szCs w:val="24"/>
                <w:lang w:val="en-US" w:eastAsia="zh-CN"/>
              </w:rPr>
              <w:t>该项目探索了非编码RNA及DNA甲基化在鼻腔肿瘤、鼻咽癌、甲状腺癌及喉癌等头颈肿瘤发病中的作用及分子调控机理，从表观遗传学的层面为开发头颈肿瘤新的靶向治疗药物及改良优化综合治疗方案提供了指导依据。</w:t>
            </w:r>
          </w:p>
          <w:p w14:paraId="1ED61478">
            <w:pPr>
              <w:jc w:val="left"/>
              <w:rPr>
                <w:rFonts w:hint="eastAsia" w:eastAsia="仿宋_GB2312"/>
                <w:bCs/>
                <w:sz w:val="24"/>
                <w:szCs w:val="24"/>
                <w:lang w:val="en-US" w:eastAsia="zh-CN"/>
              </w:rPr>
            </w:pPr>
            <w:r>
              <w:rPr>
                <w:rFonts w:hint="eastAsia" w:eastAsia="仿宋_GB2312"/>
                <w:bCs/>
                <w:sz w:val="24"/>
                <w:szCs w:val="24"/>
                <w:lang w:val="en-US" w:eastAsia="zh-CN"/>
              </w:rPr>
              <w:t>本项目共发表论文17篇，其中SCI论文12篇，培养硕士研究生5名，部分研究成果在多家单位得到应用，取得良好的社会效益。</w:t>
            </w:r>
          </w:p>
          <w:p w14:paraId="74879FFF">
            <w:pPr>
              <w:jc w:val="left"/>
              <w:rPr>
                <w:rStyle w:val="7"/>
                <w:rFonts w:hint="eastAsia" w:ascii="仿宋" w:hAnsi="仿宋" w:eastAsia="仿宋" w:cs="仿宋"/>
                <w:b w:val="0"/>
                <w:color w:val="000000"/>
              </w:rPr>
            </w:pPr>
            <w:r>
              <w:rPr>
                <w:rFonts w:hint="eastAsia" w:eastAsia="仿宋_GB2312"/>
                <w:bCs/>
                <w:sz w:val="24"/>
                <w:szCs w:val="24"/>
                <w:lang w:val="en-US" w:eastAsia="zh-CN"/>
              </w:rPr>
              <w:t>提名该成果为省科学技术进步奖：二等奖</w:t>
            </w:r>
          </w:p>
        </w:tc>
      </w:tr>
    </w:tbl>
    <w:p w14:paraId="5368E45B">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C1F51521-0540-49E8-BFED-A41E2CC710A9}"/>
  </w:font>
  <w:font w:name="宋体">
    <w:panose1 w:val="02010600030101010101"/>
    <w:charset w:val="86"/>
    <w:family w:val="auto"/>
    <w:pitch w:val="default"/>
    <w:sig w:usb0="00000203" w:usb1="288F0000" w:usb2="00000006" w:usb3="00000000" w:csb0="00040001" w:csb1="00000000"/>
    <w:embedRegular r:id="rId2" w:fontKey="{C0A082BA-44A9-45D1-B11F-652EC4D66109}"/>
  </w:font>
  <w:font w:name="Wingdings">
    <w:panose1 w:val="05000000000000000000"/>
    <w:charset w:val="02"/>
    <w:family w:val="auto"/>
    <w:pitch w:val="default"/>
    <w:sig w:usb0="00000000" w:usb1="00000000" w:usb2="00000000" w:usb3="00000000" w:csb0="80000000" w:csb1="00000000"/>
    <w:embedRegular r:id="rId3" w:fontKey="{45049331-1361-4173-B4B4-6D3A2F1DA819}"/>
  </w:font>
  <w:font w:name="Arial">
    <w:panose1 w:val="020B0604020202020204"/>
    <w:charset w:val="01"/>
    <w:family w:val="swiss"/>
    <w:pitch w:val="default"/>
    <w:sig w:usb0="E0002EFF" w:usb1="C000785B" w:usb2="00000009" w:usb3="00000000" w:csb0="400001FF" w:csb1="FFFF0000"/>
    <w:embedRegular r:id="rId4" w:fontKey="{57B2FE0D-D62D-4D48-97DF-9FF1FBC2AEC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12450756-C68B-4EB6-B6AB-3222725A3C09}"/>
  </w:font>
  <w:font w:name="Symbol">
    <w:panose1 w:val="05050102010706020507"/>
    <w:charset w:val="02"/>
    <w:family w:val="roman"/>
    <w:pitch w:val="default"/>
    <w:sig w:usb0="00000000" w:usb1="00000000" w:usb2="00000000" w:usb3="00000000" w:csb0="80000000" w:csb1="00000000"/>
    <w:embedRegular r:id="rId6" w:fontKey="{C90804B4-1E6D-4FE1-B25B-24EED2C219DD}"/>
  </w:font>
  <w:font w:name="Calibri">
    <w:panose1 w:val="020F0502020204030204"/>
    <w:charset w:val="00"/>
    <w:family w:val="swiss"/>
    <w:pitch w:val="default"/>
    <w:sig w:usb0="E4002EFF" w:usb1="C000247B" w:usb2="00000009" w:usb3="00000000" w:csb0="200001FF" w:csb1="00000000"/>
    <w:embedRegular r:id="rId7" w:fontKey="{C97A2BA4-B0CD-4C2F-AE2B-2B0C12C1925F}"/>
  </w:font>
  <w:font w:name="Charis SIL">
    <w:altName w:val="微软雅黑"/>
    <w:panose1 w:val="00000000000000000000"/>
    <w:charset w:val="86"/>
    <w:family w:val="swiss"/>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8" w:fontKey="{440A5660-68A5-40C5-9123-889D066585C0}"/>
  </w:font>
  <w:font w:name="仿宋_GB2312">
    <w:altName w:val="仿宋"/>
    <w:panose1 w:val="00000000000000000000"/>
    <w:charset w:val="86"/>
    <w:family w:val="auto"/>
    <w:pitch w:val="default"/>
    <w:sig w:usb0="00000000" w:usb1="00000000" w:usb2="00000000" w:usb3="00000000" w:csb0="00040000" w:csb1="00000000"/>
    <w:embedRegular r:id="rId9" w:fontKey="{7A7B0791-2AD7-4BCA-9B1D-85E6B1F767FA}"/>
  </w:font>
  <w:font w:name="仿宋">
    <w:panose1 w:val="02010609060101010101"/>
    <w:charset w:val="86"/>
    <w:family w:val="modern"/>
    <w:pitch w:val="default"/>
    <w:sig w:usb0="800002BF" w:usb1="38CF7CFA" w:usb2="00000016" w:usb3="00000000" w:csb0="00040001" w:csb1="00000000"/>
    <w:embedRegular r:id="rId10" w:fontKey="{72DE2F35-2D02-408E-9FB2-F2203F5DE03D}"/>
  </w:font>
  <w:font w:name="微软雅黑">
    <w:panose1 w:val="020B0503020204020204"/>
    <w:charset w:val="86"/>
    <w:family w:val="swiss"/>
    <w:pitch w:val="default"/>
    <w:sig w:usb0="80000287" w:usb1="2ACF3C50" w:usb2="00000016" w:usb3="00000000" w:csb0="0004001F" w:csb1="00000000"/>
  </w:font>
  <w:font w:name="___WRD_EMBED_SUB_47">
    <w:altName w:val="微软雅黑"/>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D398E"/>
    <w:multiLevelType w:val="multilevel"/>
    <w:tmpl w:val="0C2D398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wMTEwYTk3MjRiOTE1OTM4Mjc4NTczYjg2YmQ4YmIifQ=="/>
  </w:docVars>
  <w:rsids>
    <w:rsidRoot w:val="388E60F3"/>
    <w:rsid w:val="0008678F"/>
    <w:rsid w:val="00090413"/>
    <w:rsid w:val="000E36EB"/>
    <w:rsid w:val="000F2155"/>
    <w:rsid w:val="00127CD3"/>
    <w:rsid w:val="0013612E"/>
    <w:rsid w:val="00227AFF"/>
    <w:rsid w:val="002C54E1"/>
    <w:rsid w:val="002E6D14"/>
    <w:rsid w:val="0034492A"/>
    <w:rsid w:val="00344C4B"/>
    <w:rsid w:val="00386276"/>
    <w:rsid w:val="003B34F6"/>
    <w:rsid w:val="003D4F75"/>
    <w:rsid w:val="00416958"/>
    <w:rsid w:val="004B6F3C"/>
    <w:rsid w:val="004C43B3"/>
    <w:rsid w:val="004D2A8D"/>
    <w:rsid w:val="00514B21"/>
    <w:rsid w:val="00637644"/>
    <w:rsid w:val="006A7B24"/>
    <w:rsid w:val="006E2B02"/>
    <w:rsid w:val="00710BF5"/>
    <w:rsid w:val="0071748C"/>
    <w:rsid w:val="00734BA5"/>
    <w:rsid w:val="00765D6B"/>
    <w:rsid w:val="008408E1"/>
    <w:rsid w:val="008E743C"/>
    <w:rsid w:val="008F6ADC"/>
    <w:rsid w:val="00933EA4"/>
    <w:rsid w:val="0099689D"/>
    <w:rsid w:val="00A328E4"/>
    <w:rsid w:val="00A95170"/>
    <w:rsid w:val="00AD18A1"/>
    <w:rsid w:val="00AF6613"/>
    <w:rsid w:val="00B056B5"/>
    <w:rsid w:val="00B568CB"/>
    <w:rsid w:val="00BE5E60"/>
    <w:rsid w:val="00C2700B"/>
    <w:rsid w:val="00C5167C"/>
    <w:rsid w:val="00C60C75"/>
    <w:rsid w:val="00CA1BE0"/>
    <w:rsid w:val="00CB1DFD"/>
    <w:rsid w:val="00CC72E1"/>
    <w:rsid w:val="00D015A8"/>
    <w:rsid w:val="00D04D9D"/>
    <w:rsid w:val="00D80824"/>
    <w:rsid w:val="00DC4984"/>
    <w:rsid w:val="00E720EF"/>
    <w:rsid w:val="00E75E3D"/>
    <w:rsid w:val="00E91BE5"/>
    <w:rsid w:val="00EF1517"/>
    <w:rsid w:val="00EF672A"/>
    <w:rsid w:val="00F35DD5"/>
    <w:rsid w:val="00FB3308"/>
    <w:rsid w:val="00FC7D4F"/>
    <w:rsid w:val="00FF7A61"/>
    <w:rsid w:val="0B57625B"/>
    <w:rsid w:val="29FD0186"/>
    <w:rsid w:val="2EAB3399"/>
    <w:rsid w:val="388E60F3"/>
    <w:rsid w:val="38AE45AC"/>
    <w:rsid w:val="3D4263CE"/>
    <w:rsid w:val="3EFD54C0"/>
    <w:rsid w:val="436332AB"/>
    <w:rsid w:val="4A732EC6"/>
    <w:rsid w:val="4AE9522F"/>
    <w:rsid w:val="58466FCB"/>
    <w:rsid w:val="78C73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title1"/>
    <w:qFormat/>
    <w:uiPriority w:val="0"/>
    <w:rPr>
      <w:b/>
      <w:bCs/>
      <w:color w:val="999900"/>
      <w:sz w:val="24"/>
      <w:szCs w:val="24"/>
    </w:rPr>
  </w:style>
  <w:style w:type="character" w:customStyle="1" w:styleId="8">
    <w:name w:val="页眉 字符"/>
    <w:basedOn w:val="6"/>
    <w:link w:val="3"/>
    <w:qFormat/>
    <w:uiPriority w:val="0"/>
    <w:rPr>
      <w:rFonts w:ascii="Times New Roman" w:hAnsi="Times New Roman" w:eastAsia="宋体" w:cs="Times New Roman"/>
      <w:kern w:val="2"/>
      <w:sz w:val="18"/>
      <w:szCs w:val="18"/>
    </w:rPr>
  </w:style>
  <w:style w:type="character" w:customStyle="1" w:styleId="9">
    <w:name w:val="页脚 字符"/>
    <w:basedOn w:val="6"/>
    <w:link w:val="2"/>
    <w:qFormat/>
    <w:uiPriority w:val="0"/>
    <w:rPr>
      <w:rFonts w:ascii="Times New Roman" w:hAnsi="Times New Roman" w:eastAsia="宋体" w:cs="Times New Roman"/>
      <w:kern w:val="2"/>
      <w:sz w:val="18"/>
      <w:szCs w:val="18"/>
    </w:rPr>
  </w:style>
  <w:style w:type="paragraph" w:styleId="10">
    <w:name w:val="List Paragraph"/>
    <w:basedOn w:val="1"/>
    <w:qFormat/>
    <w:uiPriority w:val="34"/>
    <w:pPr>
      <w:ind w:firstLine="420" w:firstLineChars="200"/>
    </w:pPr>
  </w:style>
  <w:style w:type="paragraph" w:customStyle="1" w:styleId="11">
    <w:name w:val="Default"/>
    <w:qFormat/>
    <w:uiPriority w:val="0"/>
    <w:pPr>
      <w:widowControl w:val="0"/>
      <w:autoSpaceDE w:val="0"/>
      <w:autoSpaceDN w:val="0"/>
      <w:adjustRightInd w:val="0"/>
    </w:pPr>
    <w:rPr>
      <w:rFonts w:ascii="Charis SIL" w:eastAsia="Charis SIL" w:cs="Charis SIL"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1057</Words>
  <Characters>2374</Characters>
  <Lines>19</Lines>
  <Paragraphs>5</Paragraphs>
  <TotalTime>184</TotalTime>
  <ScaleCrop>false</ScaleCrop>
  <LinksUpToDate>false</LinksUpToDate>
  <CharactersWithSpaces>2681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2023-03-12T11:10:00Z</dcterms:created>
  <dc:creator>赵希彦</dc:creator>
  <cp:lastModifiedBy>微笑的妞妞</cp:lastModifiedBy>
  <dcterms:modified xsi:type="dcterms:W3CDTF">2024-08-12T06:15:50Z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47264212EC4F4F0FAF5E5D0A7A2806D2</vt:lpwstr>
  </property>
</Properties>
</file>