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黑体" w:hAnsi="黑体" w:eastAsia="黑体" w:cs="黑体"/>
          <w:sz w:val="30"/>
          <w:szCs w:val="30"/>
        </w:rPr>
      </w:pPr>
      <w:r>
        <w:rPr>
          <w:rFonts w:hint="eastAsia" w:ascii="黑体" w:hAnsi="黑体" w:eastAsia="黑体" w:cs="黑体"/>
          <w:sz w:val="30"/>
          <w:szCs w:val="30"/>
        </w:rPr>
        <w:t>浙江医院</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三墩院区、灵隐院区</w:t>
      </w:r>
      <w:r>
        <w:rPr>
          <w:rFonts w:hint="eastAsia" w:ascii="黑体" w:hAnsi="黑体" w:eastAsia="黑体" w:cs="黑体"/>
          <w:sz w:val="30"/>
          <w:szCs w:val="30"/>
          <w:lang w:eastAsia="zh-CN"/>
        </w:rPr>
        <w:t>）</w:t>
      </w:r>
      <w:r>
        <w:rPr>
          <w:rFonts w:hint="eastAsia" w:ascii="黑体" w:hAnsi="黑体" w:eastAsia="黑体" w:cs="黑体"/>
          <w:sz w:val="30"/>
          <w:szCs w:val="30"/>
        </w:rPr>
        <w:t>污染源自动监</w:t>
      </w:r>
      <w:r>
        <w:rPr>
          <w:rFonts w:hint="eastAsia" w:ascii="黑体" w:hAnsi="黑体" w:eastAsia="黑体" w:cs="黑体"/>
          <w:sz w:val="30"/>
          <w:szCs w:val="30"/>
          <w:lang w:val="en-US" w:eastAsia="zh-CN"/>
        </w:rPr>
        <w:t>测</w:t>
      </w:r>
      <w:r>
        <w:rPr>
          <w:rFonts w:hint="eastAsia" w:ascii="黑体" w:hAnsi="黑体" w:eastAsia="黑体" w:cs="黑体"/>
          <w:sz w:val="30"/>
          <w:szCs w:val="30"/>
        </w:rPr>
        <w:t>系统</w:t>
      </w:r>
    </w:p>
    <w:p>
      <w:pPr>
        <w:bidi w:val="0"/>
        <w:jc w:val="center"/>
        <w:rPr>
          <w:rFonts w:hint="eastAsia" w:ascii="黑体" w:hAnsi="黑体" w:eastAsia="黑体" w:cs="黑体"/>
          <w:sz w:val="30"/>
          <w:szCs w:val="30"/>
        </w:rPr>
      </w:pPr>
      <w:r>
        <w:rPr>
          <w:rFonts w:hint="eastAsia" w:ascii="黑体" w:hAnsi="黑体" w:eastAsia="黑体" w:cs="黑体"/>
          <w:sz w:val="30"/>
          <w:szCs w:val="30"/>
          <w:lang w:val="en-US" w:eastAsia="zh-CN"/>
        </w:rPr>
        <w:t>维保服务采购</w:t>
      </w:r>
      <w:r>
        <w:rPr>
          <w:rFonts w:hint="eastAsia" w:ascii="黑体" w:hAnsi="黑体" w:eastAsia="黑体" w:cs="黑体"/>
          <w:sz w:val="30"/>
          <w:szCs w:val="30"/>
        </w:rPr>
        <w:t>需求</w:t>
      </w:r>
    </w:p>
    <w:p>
      <w:pPr>
        <w:bidi w:val="0"/>
        <w:rPr>
          <w:rFonts w:hint="eastAsia"/>
          <w:lang w:val="en-US" w:eastAsia="zh-CN"/>
        </w:rPr>
      </w:pPr>
      <w:r>
        <w:rPr>
          <w:rFonts w:hint="eastAsia"/>
          <w:lang w:val="en-US" w:eastAsia="zh-CN"/>
        </w:rPr>
        <w:t>本次招标内容需求为两院区的污染本院自动监测系统维保服务项目，具体设备需求如下表：</w:t>
      </w:r>
    </w:p>
    <w:p>
      <w:pPr>
        <w:bidi w:val="0"/>
        <w:rPr>
          <w:rFonts w:hint="eastAsia" w:ascii="黑体" w:hAnsi="黑体" w:eastAsia="黑体" w:cs="黑体"/>
          <w:lang w:val="en-US" w:eastAsia="zh-CN"/>
        </w:rPr>
      </w:pPr>
      <w:r>
        <w:rPr>
          <w:rFonts w:hint="eastAsia" w:ascii="黑体" w:hAnsi="黑体" w:eastAsia="黑体" w:cs="黑体"/>
          <w:lang w:val="en-US" w:eastAsia="zh-CN"/>
        </w:rPr>
        <w:t>（一）两院区污水在线监测系统设备</w:t>
      </w:r>
    </w:p>
    <w:tbl>
      <w:tblPr>
        <w:tblStyle w:val="5"/>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1"/>
        <w:gridCol w:w="1102"/>
        <w:gridCol w:w="2799"/>
        <w:gridCol w:w="1127"/>
        <w:gridCol w:w="26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64" w:type="pct"/>
            <w:gridSpan w:val="2"/>
            <w:noWrap w:val="0"/>
            <w:vAlign w:val="center"/>
          </w:tcPr>
          <w:p>
            <w:pPr>
              <w:bidi w:val="0"/>
              <w:jc w:val="center"/>
            </w:pPr>
            <w:r>
              <w:t>类型</w:t>
            </w:r>
          </w:p>
        </w:tc>
        <w:tc>
          <w:tcPr>
            <w:tcW w:w="1679" w:type="pct"/>
            <w:noWrap w:val="0"/>
            <w:vAlign w:val="center"/>
          </w:tcPr>
          <w:p>
            <w:pPr>
              <w:bidi w:val="0"/>
              <w:jc w:val="center"/>
              <w:rPr>
                <w:rFonts w:hint="eastAsia"/>
                <w:lang w:val="en-US"/>
              </w:rPr>
            </w:pPr>
            <w:r>
              <w:t>设备</w:t>
            </w:r>
            <w:r>
              <w:rPr>
                <w:rFonts w:hint="eastAsia"/>
                <w:lang w:val="en-US"/>
              </w:rPr>
              <w:t>名称</w:t>
            </w:r>
          </w:p>
        </w:tc>
        <w:tc>
          <w:tcPr>
            <w:tcW w:w="676" w:type="pct"/>
            <w:noWrap w:val="0"/>
            <w:vAlign w:val="center"/>
          </w:tcPr>
          <w:p>
            <w:pPr>
              <w:bidi w:val="0"/>
              <w:jc w:val="center"/>
              <w:rPr>
                <w:rFonts w:hint="eastAsia"/>
                <w:lang w:val="en-US"/>
              </w:rPr>
            </w:pPr>
            <w:r>
              <w:rPr>
                <w:rFonts w:hint="eastAsia"/>
                <w:lang w:val="en-US"/>
              </w:rPr>
              <w:t>数量</w:t>
            </w:r>
          </w:p>
        </w:tc>
        <w:tc>
          <w:tcPr>
            <w:tcW w:w="1579" w:type="pct"/>
            <w:noWrap w:val="0"/>
            <w:vAlign w:val="center"/>
          </w:tcPr>
          <w:p>
            <w:pPr>
              <w:bidi w:val="0"/>
              <w:jc w:val="center"/>
            </w:pPr>
            <w: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03" w:type="pct"/>
            <w:vMerge w:val="restart"/>
            <w:noWrap w:val="0"/>
            <w:vAlign w:val="center"/>
          </w:tcPr>
          <w:p>
            <w:pPr>
              <w:bidi w:val="0"/>
              <w:ind w:left="0" w:leftChars="0" w:firstLine="0" w:firstLineChars="0"/>
              <w:jc w:val="center"/>
            </w:pPr>
            <w:r>
              <w:rPr>
                <w:rFonts w:hint="eastAsia"/>
              </w:rPr>
              <w:t>污水在线监测</w:t>
            </w:r>
            <w:r>
              <w:t>系统</w:t>
            </w:r>
          </w:p>
        </w:tc>
        <w:tc>
          <w:tcPr>
            <w:tcW w:w="661" w:type="pct"/>
            <w:vMerge w:val="restart"/>
            <w:noWrap w:val="0"/>
            <w:vAlign w:val="center"/>
          </w:tcPr>
          <w:p>
            <w:pPr>
              <w:bidi w:val="0"/>
              <w:ind w:left="0" w:leftChars="0" w:firstLine="0" w:firstLineChars="0"/>
              <w:jc w:val="center"/>
            </w:pPr>
            <w:r>
              <w:t>监测设备</w:t>
            </w:r>
          </w:p>
        </w:tc>
        <w:tc>
          <w:tcPr>
            <w:tcW w:w="1679" w:type="pct"/>
            <w:noWrap w:val="0"/>
            <w:vAlign w:val="center"/>
          </w:tcPr>
          <w:p>
            <w:pPr>
              <w:bidi w:val="0"/>
              <w:jc w:val="center"/>
            </w:pPr>
            <w:r>
              <w:t>在线 COD 检测仪</w:t>
            </w:r>
          </w:p>
        </w:tc>
        <w:tc>
          <w:tcPr>
            <w:tcW w:w="676" w:type="pct"/>
            <w:noWrap w:val="0"/>
            <w:vAlign w:val="center"/>
          </w:tcPr>
          <w:p>
            <w:pPr>
              <w:bidi w:val="0"/>
              <w:jc w:val="center"/>
              <w:rPr>
                <w:lang w:val="en-US"/>
              </w:rPr>
            </w:pPr>
            <w:r>
              <w:rPr>
                <w:rFonts w:hint="eastAsia"/>
                <w:lang w:val="en-US" w:eastAsia="zh-CN"/>
              </w:rPr>
              <w:t>2</w:t>
            </w:r>
            <w:r>
              <w:rPr>
                <w:rFonts w:hint="eastAsia"/>
                <w:lang w:val="en-US"/>
              </w:rPr>
              <w:t>套</w:t>
            </w:r>
          </w:p>
        </w:tc>
        <w:tc>
          <w:tcPr>
            <w:tcW w:w="1579" w:type="pct"/>
            <w:noWrap w:val="0"/>
            <w:vAlign w:val="center"/>
          </w:tcPr>
          <w:p>
            <w:pPr>
              <w:bidi w:val="0"/>
              <w:jc w:val="center"/>
            </w:pPr>
            <w:r>
              <w:rPr>
                <w:rFonts w:hint="eastAsia"/>
                <w:lang w:val="en-US" w:eastAsia="zh-CN"/>
              </w:rPr>
              <w:t>铬</w:t>
            </w:r>
            <w: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03" w:type="pct"/>
            <w:vMerge w:val="continue"/>
            <w:tcBorders>
              <w:top w:val="nil"/>
            </w:tcBorders>
            <w:noWrap w:val="0"/>
            <w:vAlign w:val="center"/>
          </w:tcPr>
          <w:p>
            <w:pPr>
              <w:bidi w:val="0"/>
              <w:jc w:val="center"/>
            </w:pPr>
          </w:p>
        </w:tc>
        <w:tc>
          <w:tcPr>
            <w:tcW w:w="661" w:type="pct"/>
            <w:vMerge w:val="continue"/>
            <w:tcBorders>
              <w:top w:val="nil"/>
            </w:tcBorders>
            <w:noWrap w:val="0"/>
            <w:vAlign w:val="center"/>
          </w:tcPr>
          <w:p>
            <w:pPr>
              <w:bidi w:val="0"/>
              <w:jc w:val="center"/>
            </w:pPr>
          </w:p>
        </w:tc>
        <w:tc>
          <w:tcPr>
            <w:tcW w:w="1679" w:type="pct"/>
            <w:noWrap w:val="0"/>
            <w:vAlign w:val="center"/>
          </w:tcPr>
          <w:p>
            <w:pPr>
              <w:bidi w:val="0"/>
              <w:jc w:val="center"/>
            </w:pPr>
            <w:r>
              <w:t>在线氨氮检测仪</w:t>
            </w:r>
          </w:p>
        </w:tc>
        <w:tc>
          <w:tcPr>
            <w:tcW w:w="676" w:type="pct"/>
            <w:noWrap w:val="0"/>
            <w:vAlign w:val="center"/>
          </w:tcPr>
          <w:p>
            <w:pPr>
              <w:bidi w:val="0"/>
              <w:jc w:val="center"/>
            </w:pPr>
            <w:r>
              <w:rPr>
                <w:rFonts w:hint="eastAsia"/>
                <w:lang w:val="en-US" w:eastAsia="zh-CN"/>
              </w:rPr>
              <w:t>2</w:t>
            </w:r>
            <w:r>
              <w:rPr>
                <w:rFonts w:hint="eastAsia"/>
              </w:rPr>
              <w:t>套</w:t>
            </w:r>
          </w:p>
        </w:tc>
        <w:tc>
          <w:tcPr>
            <w:tcW w:w="1579" w:type="pct"/>
            <w:noWrap w:val="0"/>
            <w:vAlign w:val="center"/>
          </w:tcPr>
          <w:p>
            <w:pPr>
              <w:bidi w:val="0"/>
              <w:jc w:val="center"/>
            </w:pPr>
            <w:r>
              <w:t>水杨酸法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03" w:type="pct"/>
            <w:vMerge w:val="continue"/>
            <w:tcBorders>
              <w:top w:val="nil"/>
            </w:tcBorders>
            <w:noWrap w:val="0"/>
            <w:vAlign w:val="center"/>
          </w:tcPr>
          <w:p>
            <w:pPr>
              <w:bidi w:val="0"/>
              <w:jc w:val="center"/>
            </w:pPr>
          </w:p>
        </w:tc>
        <w:tc>
          <w:tcPr>
            <w:tcW w:w="661" w:type="pct"/>
            <w:vMerge w:val="continue"/>
            <w:tcBorders>
              <w:top w:val="nil"/>
            </w:tcBorders>
            <w:noWrap w:val="0"/>
            <w:vAlign w:val="center"/>
          </w:tcPr>
          <w:p>
            <w:pPr>
              <w:bidi w:val="0"/>
              <w:jc w:val="center"/>
            </w:pPr>
          </w:p>
        </w:tc>
        <w:tc>
          <w:tcPr>
            <w:tcW w:w="1679" w:type="pct"/>
            <w:noWrap w:val="0"/>
            <w:vAlign w:val="center"/>
          </w:tcPr>
          <w:p>
            <w:pPr>
              <w:bidi w:val="0"/>
              <w:jc w:val="center"/>
              <w:rPr>
                <w:rFonts w:hint="default"/>
                <w:lang w:val="en-US" w:eastAsia="zh-CN"/>
              </w:rPr>
            </w:pPr>
            <w:r>
              <w:rPr>
                <w:rFonts w:hint="eastAsia"/>
                <w:lang w:val="en-US" w:eastAsia="zh-CN"/>
              </w:rPr>
              <w:t>在线PH检测仪</w:t>
            </w:r>
          </w:p>
        </w:tc>
        <w:tc>
          <w:tcPr>
            <w:tcW w:w="676" w:type="pct"/>
            <w:noWrap w:val="0"/>
            <w:vAlign w:val="center"/>
          </w:tcPr>
          <w:p>
            <w:pPr>
              <w:bidi w:val="0"/>
              <w:jc w:val="center"/>
            </w:pPr>
            <w:r>
              <w:rPr>
                <w:rFonts w:hint="eastAsia"/>
                <w:lang w:val="en-US" w:eastAsia="zh-CN"/>
              </w:rPr>
              <w:t>2</w:t>
            </w:r>
            <w:r>
              <w:rPr>
                <w:rFonts w:hint="eastAsia"/>
              </w:rPr>
              <w:t>套</w:t>
            </w:r>
          </w:p>
        </w:tc>
        <w:tc>
          <w:tcPr>
            <w:tcW w:w="1579" w:type="pct"/>
            <w:noWrap w:val="0"/>
            <w:vAlign w:val="center"/>
          </w:tcPr>
          <w:p>
            <w:pPr>
              <w:bidi w:val="0"/>
              <w:jc w:val="center"/>
            </w:pPr>
            <w:r>
              <w:t>电极法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03" w:type="pct"/>
            <w:vMerge w:val="continue"/>
            <w:tcBorders>
              <w:top w:val="nil"/>
            </w:tcBorders>
            <w:noWrap w:val="0"/>
            <w:vAlign w:val="center"/>
          </w:tcPr>
          <w:p>
            <w:pPr>
              <w:bidi w:val="0"/>
              <w:jc w:val="center"/>
            </w:pPr>
          </w:p>
        </w:tc>
        <w:tc>
          <w:tcPr>
            <w:tcW w:w="661" w:type="pct"/>
            <w:vMerge w:val="continue"/>
            <w:tcBorders>
              <w:top w:val="nil"/>
            </w:tcBorders>
            <w:noWrap w:val="0"/>
            <w:vAlign w:val="center"/>
          </w:tcPr>
          <w:p>
            <w:pPr>
              <w:bidi w:val="0"/>
              <w:jc w:val="center"/>
            </w:pPr>
          </w:p>
        </w:tc>
        <w:tc>
          <w:tcPr>
            <w:tcW w:w="1679" w:type="pct"/>
            <w:noWrap w:val="0"/>
            <w:vAlign w:val="center"/>
          </w:tcPr>
          <w:p>
            <w:pPr>
              <w:bidi w:val="0"/>
              <w:jc w:val="center"/>
            </w:pPr>
            <w:r>
              <w:t>在线余氯检测仪</w:t>
            </w:r>
          </w:p>
        </w:tc>
        <w:tc>
          <w:tcPr>
            <w:tcW w:w="676" w:type="pct"/>
            <w:noWrap w:val="0"/>
            <w:vAlign w:val="center"/>
          </w:tcPr>
          <w:p>
            <w:pPr>
              <w:bidi w:val="0"/>
              <w:jc w:val="center"/>
            </w:pPr>
            <w:r>
              <w:rPr>
                <w:rFonts w:hint="eastAsia"/>
                <w:lang w:val="en-US" w:eastAsia="zh-CN"/>
              </w:rPr>
              <w:t>2</w:t>
            </w:r>
            <w:r>
              <w:rPr>
                <w:rFonts w:hint="eastAsia"/>
              </w:rPr>
              <w:t>套</w:t>
            </w:r>
          </w:p>
        </w:tc>
        <w:tc>
          <w:tcPr>
            <w:tcW w:w="1579" w:type="pct"/>
            <w:noWrap w:val="0"/>
            <w:vAlign w:val="center"/>
          </w:tcPr>
          <w:p>
            <w:pPr>
              <w:bidi w:val="0"/>
              <w:jc w:val="center"/>
            </w:pPr>
            <w:r>
              <w:t>电极法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03" w:type="pct"/>
            <w:vMerge w:val="continue"/>
            <w:tcBorders>
              <w:top w:val="nil"/>
            </w:tcBorders>
            <w:noWrap w:val="0"/>
            <w:vAlign w:val="center"/>
          </w:tcPr>
          <w:p>
            <w:pPr>
              <w:bidi w:val="0"/>
              <w:jc w:val="center"/>
            </w:pPr>
          </w:p>
        </w:tc>
        <w:tc>
          <w:tcPr>
            <w:tcW w:w="661" w:type="pct"/>
            <w:vMerge w:val="continue"/>
            <w:tcBorders>
              <w:top w:val="nil"/>
            </w:tcBorders>
            <w:noWrap w:val="0"/>
            <w:vAlign w:val="center"/>
          </w:tcPr>
          <w:p>
            <w:pPr>
              <w:bidi w:val="0"/>
              <w:jc w:val="center"/>
            </w:pPr>
          </w:p>
        </w:tc>
        <w:tc>
          <w:tcPr>
            <w:tcW w:w="1679" w:type="pct"/>
            <w:noWrap w:val="0"/>
            <w:vAlign w:val="center"/>
          </w:tcPr>
          <w:p>
            <w:pPr>
              <w:bidi w:val="0"/>
              <w:jc w:val="center"/>
            </w:pPr>
            <w:r>
              <w:t>流量计</w:t>
            </w:r>
          </w:p>
        </w:tc>
        <w:tc>
          <w:tcPr>
            <w:tcW w:w="676" w:type="pct"/>
            <w:noWrap w:val="0"/>
            <w:vAlign w:val="center"/>
          </w:tcPr>
          <w:p>
            <w:pPr>
              <w:bidi w:val="0"/>
              <w:jc w:val="center"/>
              <w:rPr>
                <w:rFonts w:hint="default"/>
                <w:lang w:val="en-US" w:eastAsia="zh-CN"/>
              </w:rPr>
            </w:pPr>
            <w:r>
              <w:rPr>
                <w:rFonts w:hint="eastAsia"/>
                <w:lang w:val="en-US" w:eastAsia="zh-CN"/>
              </w:rPr>
              <w:t>2套</w:t>
            </w:r>
          </w:p>
        </w:tc>
        <w:tc>
          <w:tcPr>
            <w:tcW w:w="1579" w:type="pct"/>
            <w:noWrap w:val="0"/>
            <w:vAlign w:val="center"/>
          </w:tcPr>
          <w:p>
            <w:pPr>
              <w:bidi w:val="0"/>
              <w:jc w:val="center"/>
              <w:rPr>
                <w:rFonts w:hint="eastAsia"/>
                <w:lang w:val="en-US" w:eastAsia="zh-CN"/>
              </w:rPr>
            </w:pPr>
            <w:r>
              <w:rPr>
                <w:rFonts w:hint="eastAsia"/>
                <w:lang w:val="en-US" w:eastAsia="zh-CN"/>
              </w:rPr>
              <w:t>超声波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403" w:type="pct"/>
            <w:vMerge w:val="continue"/>
            <w:tcBorders>
              <w:top w:val="nil"/>
            </w:tcBorders>
            <w:noWrap w:val="0"/>
            <w:vAlign w:val="center"/>
          </w:tcPr>
          <w:p>
            <w:pPr>
              <w:bidi w:val="0"/>
              <w:jc w:val="center"/>
            </w:pPr>
          </w:p>
        </w:tc>
        <w:tc>
          <w:tcPr>
            <w:tcW w:w="661" w:type="pct"/>
            <w:vMerge w:val="continue"/>
            <w:tcBorders>
              <w:top w:val="nil"/>
            </w:tcBorders>
            <w:noWrap w:val="0"/>
            <w:vAlign w:val="center"/>
          </w:tcPr>
          <w:p>
            <w:pPr>
              <w:bidi w:val="0"/>
              <w:jc w:val="center"/>
            </w:pPr>
          </w:p>
        </w:tc>
        <w:tc>
          <w:tcPr>
            <w:tcW w:w="1679" w:type="pct"/>
            <w:noWrap w:val="0"/>
            <w:vAlign w:val="center"/>
          </w:tcPr>
          <w:p>
            <w:pPr>
              <w:bidi w:val="0"/>
              <w:jc w:val="center"/>
              <w:rPr>
                <w:rFonts w:hint="default"/>
                <w:lang w:val="en-US" w:eastAsia="zh-CN"/>
              </w:rPr>
            </w:pPr>
            <w:r>
              <w:rPr>
                <w:rFonts w:hint="eastAsia"/>
                <w:lang w:val="en-US" w:eastAsia="zh-CN"/>
              </w:rPr>
              <w:t>采样超标留样器</w:t>
            </w:r>
          </w:p>
        </w:tc>
        <w:tc>
          <w:tcPr>
            <w:tcW w:w="676" w:type="pct"/>
            <w:noWrap w:val="0"/>
            <w:vAlign w:val="center"/>
          </w:tcPr>
          <w:p>
            <w:pPr>
              <w:bidi w:val="0"/>
              <w:jc w:val="center"/>
            </w:pPr>
            <w:r>
              <w:rPr>
                <w:rFonts w:hint="eastAsia"/>
                <w:lang w:val="en-US" w:eastAsia="zh-CN"/>
              </w:rPr>
              <w:t>2</w:t>
            </w:r>
            <w:r>
              <w:rPr>
                <w:rFonts w:hint="eastAsia"/>
                <w:lang w:val="en-US"/>
              </w:rPr>
              <w:t>套</w:t>
            </w:r>
          </w:p>
        </w:tc>
        <w:tc>
          <w:tcPr>
            <w:tcW w:w="1579" w:type="pct"/>
            <w:noWrap w:val="0"/>
            <w:vAlign w:val="center"/>
          </w:tcPr>
          <w:p>
            <w:pPr>
              <w:bidi w:val="0"/>
              <w:jc w:val="center"/>
            </w:pPr>
            <w:r>
              <w:t>含混合采供留样功能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03" w:type="pct"/>
            <w:vMerge w:val="continue"/>
            <w:tcBorders>
              <w:top w:val="nil"/>
            </w:tcBorders>
            <w:noWrap w:val="0"/>
            <w:vAlign w:val="center"/>
          </w:tcPr>
          <w:p>
            <w:pPr>
              <w:bidi w:val="0"/>
              <w:jc w:val="center"/>
            </w:pPr>
          </w:p>
        </w:tc>
        <w:tc>
          <w:tcPr>
            <w:tcW w:w="661" w:type="pct"/>
            <w:vMerge w:val="restart"/>
            <w:noWrap w:val="0"/>
            <w:vAlign w:val="center"/>
          </w:tcPr>
          <w:p>
            <w:pPr>
              <w:bidi w:val="0"/>
              <w:ind w:left="0" w:leftChars="0" w:firstLine="0" w:firstLineChars="0"/>
              <w:jc w:val="center"/>
              <w:rPr>
                <w:lang w:val="en-US"/>
              </w:rPr>
            </w:pPr>
            <w:r>
              <w:t>数据采集传输系统</w:t>
            </w:r>
            <w:r>
              <w:rPr>
                <w:rFonts w:hint="eastAsia"/>
                <w:lang w:val="en-US"/>
              </w:rPr>
              <w:t>及智能传输平台</w:t>
            </w:r>
          </w:p>
        </w:tc>
        <w:tc>
          <w:tcPr>
            <w:tcW w:w="1679" w:type="pct"/>
            <w:noWrap w:val="0"/>
            <w:vAlign w:val="center"/>
          </w:tcPr>
          <w:p>
            <w:pPr>
              <w:bidi w:val="0"/>
              <w:jc w:val="center"/>
            </w:pPr>
            <w:r>
              <w:rPr>
                <w:rFonts w:hint="eastAsia"/>
                <w:lang w:val="en-US" w:eastAsia="zh-CN"/>
              </w:rPr>
              <w:t>环保</w:t>
            </w:r>
            <w:r>
              <w:t>数采仪</w:t>
            </w:r>
          </w:p>
        </w:tc>
        <w:tc>
          <w:tcPr>
            <w:tcW w:w="676" w:type="pct"/>
            <w:noWrap w:val="0"/>
            <w:vAlign w:val="center"/>
          </w:tcPr>
          <w:p>
            <w:pPr>
              <w:bidi w:val="0"/>
              <w:jc w:val="center"/>
            </w:pPr>
            <w:r>
              <w:rPr>
                <w:rFonts w:hint="eastAsia"/>
                <w:lang w:val="en-US" w:eastAsia="zh-CN"/>
              </w:rPr>
              <w:t>2</w:t>
            </w:r>
            <w:r>
              <w:rPr>
                <w:rFonts w:hint="eastAsia"/>
                <w:lang w:val="en-US"/>
              </w:rPr>
              <w:t>套</w:t>
            </w:r>
          </w:p>
        </w:tc>
        <w:tc>
          <w:tcPr>
            <w:tcW w:w="1579" w:type="pct"/>
            <w:noWrap w:val="0"/>
            <w:vAlign w:val="center"/>
          </w:tcPr>
          <w:p>
            <w:pPr>
              <w:bidi w:val="0"/>
              <w:jc w:val="center"/>
            </w:pPr>
            <w:r>
              <w:t>数据采集整理及传输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403" w:type="pct"/>
            <w:vMerge w:val="continue"/>
            <w:tcBorders>
              <w:top w:val="nil"/>
            </w:tcBorders>
            <w:noWrap w:val="0"/>
            <w:vAlign w:val="center"/>
          </w:tcPr>
          <w:p>
            <w:pPr>
              <w:bidi w:val="0"/>
              <w:jc w:val="center"/>
            </w:pPr>
          </w:p>
        </w:tc>
        <w:tc>
          <w:tcPr>
            <w:tcW w:w="661" w:type="pct"/>
            <w:vMerge w:val="continue"/>
            <w:noWrap w:val="0"/>
            <w:vAlign w:val="center"/>
          </w:tcPr>
          <w:p>
            <w:pPr>
              <w:bidi w:val="0"/>
              <w:jc w:val="center"/>
            </w:pPr>
          </w:p>
        </w:tc>
        <w:tc>
          <w:tcPr>
            <w:tcW w:w="1679" w:type="pct"/>
            <w:noWrap w:val="0"/>
            <w:vAlign w:val="center"/>
          </w:tcPr>
          <w:p>
            <w:pPr>
              <w:bidi w:val="0"/>
              <w:jc w:val="center"/>
            </w:pPr>
          </w:p>
          <w:p>
            <w:pPr>
              <w:bidi w:val="0"/>
              <w:jc w:val="center"/>
              <w:rPr>
                <w:rFonts w:hint="default"/>
                <w:lang w:val="en-US" w:eastAsia="zh-CN"/>
              </w:rPr>
            </w:pPr>
            <w:r>
              <w:rPr>
                <w:rFonts w:hint="eastAsia"/>
                <w:lang w:val="en-US" w:eastAsia="zh-CN"/>
              </w:rPr>
              <w:t>环保专网</w:t>
            </w:r>
          </w:p>
        </w:tc>
        <w:tc>
          <w:tcPr>
            <w:tcW w:w="676" w:type="pct"/>
            <w:noWrap w:val="0"/>
            <w:vAlign w:val="center"/>
          </w:tcPr>
          <w:p>
            <w:pPr>
              <w:bidi w:val="0"/>
              <w:jc w:val="center"/>
            </w:pPr>
            <w:r>
              <w:rPr>
                <w:rFonts w:hint="eastAsia"/>
                <w:lang w:val="en-US" w:eastAsia="zh-CN"/>
              </w:rPr>
              <w:t>2</w:t>
            </w:r>
            <w:r>
              <w:rPr>
                <w:rFonts w:hint="eastAsia"/>
                <w:lang w:val="en-US"/>
              </w:rPr>
              <w:t>套</w:t>
            </w:r>
          </w:p>
        </w:tc>
        <w:tc>
          <w:tcPr>
            <w:tcW w:w="1579" w:type="pct"/>
            <w:noWrap w:val="0"/>
            <w:vAlign w:val="center"/>
          </w:tcPr>
          <w:p>
            <w:pPr>
              <w:bidi w:val="0"/>
              <w:jc w:val="center"/>
            </w:pPr>
            <w:r>
              <w:rPr>
                <w:rFonts w:hint="eastAsia"/>
                <w:lang w:val="en-US" w:eastAsia="zh-CN"/>
              </w:rPr>
              <w:t>数据上传至环保平台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 w:hRule="atLeast"/>
        </w:trPr>
        <w:tc>
          <w:tcPr>
            <w:tcW w:w="403" w:type="pct"/>
            <w:vMerge w:val="continue"/>
            <w:tcBorders>
              <w:top w:val="nil"/>
            </w:tcBorders>
            <w:noWrap w:val="0"/>
            <w:vAlign w:val="center"/>
          </w:tcPr>
          <w:p>
            <w:pPr>
              <w:bidi w:val="0"/>
              <w:jc w:val="center"/>
            </w:pPr>
          </w:p>
        </w:tc>
        <w:tc>
          <w:tcPr>
            <w:tcW w:w="661" w:type="pct"/>
            <w:vMerge w:val="continue"/>
            <w:noWrap w:val="0"/>
            <w:vAlign w:val="center"/>
          </w:tcPr>
          <w:p>
            <w:pPr>
              <w:bidi w:val="0"/>
              <w:jc w:val="center"/>
            </w:pPr>
          </w:p>
        </w:tc>
        <w:tc>
          <w:tcPr>
            <w:tcW w:w="1679" w:type="pct"/>
            <w:noWrap w:val="0"/>
            <w:vAlign w:val="center"/>
          </w:tcPr>
          <w:p>
            <w:pPr>
              <w:bidi w:val="0"/>
              <w:jc w:val="center"/>
            </w:pPr>
            <w:r>
              <w:t>视频系统（含高清网络摄像头、硬盘录像机、网络交换机等）</w:t>
            </w:r>
          </w:p>
        </w:tc>
        <w:tc>
          <w:tcPr>
            <w:tcW w:w="676" w:type="pct"/>
            <w:noWrap w:val="0"/>
            <w:vAlign w:val="center"/>
          </w:tcPr>
          <w:p>
            <w:pPr>
              <w:bidi w:val="0"/>
              <w:jc w:val="center"/>
            </w:pPr>
            <w:r>
              <w:rPr>
                <w:rFonts w:hint="eastAsia"/>
                <w:lang w:val="en-US" w:eastAsia="zh-CN"/>
              </w:rPr>
              <w:t>2</w:t>
            </w:r>
            <w:r>
              <w:rPr>
                <w:rFonts w:hint="default"/>
                <w:lang w:val="en-US" w:eastAsia="zh-CN"/>
              </w:rPr>
              <w:t>套</w:t>
            </w:r>
          </w:p>
        </w:tc>
        <w:tc>
          <w:tcPr>
            <w:tcW w:w="1579" w:type="pct"/>
            <w:noWrap w:val="0"/>
            <w:vAlign w:val="center"/>
          </w:tcPr>
          <w:p>
            <w:pPr>
              <w:bidi w:val="0"/>
              <w:jc w:val="both"/>
            </w:pPr>
            <w:r>
              <w:t>对出水口、设备房视频监控进行可视化、场景化展示分析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403" w:type="pct"/>
            <w:vMerge w:val="continue"/>
            <w:tcBorders>
              <w:top w:val="nil"/>
            </w:tcBorders>
            <w:noWrap w:val="0"/>
            <w:vAlign w:val="center"/>
          </w:tcPr>
          <w:p>
            <w:pPr>
              <w:bidi w:val="0"/>
              <w:jc w:val="center"/>
            </w:pPr>
          </w:p>
        </w:tc>
        <w:tc>
          <w:tcPr>
            <w:tcW w:w="661" w:type="pct"/>
            <w:vMerge w:val="continue"/>
            <w:noWrap w:val="0"/>
            <w:vAlign w:val="center"/>
          </w:tcPr>
          <w:p>
            <w:pPr>
              <w:bidi w:val="0"/>
              <w:jc w:val="center"/>
            </w:pPr>
          </w:p>
        </w:tc>
        <w:tc>
          <w:tcPr>
            <w:tcW w:w="1679" w:type="pct"/>
            <w:noWrap w:val="0"/>
            <w:vAlign w:val="center"/>
          </w:tcPr>
          <w:p>
            <w:pPr>
              <w:bidi w:val="0"/>
              <w:jc w:val="center"/>
            </w:pPr>
            <w:r>
              <w:t>门禁系统（高清触摸彩屏，</w:t>
            </w:r>
          </w:p>
          <w:p>
            <w:pPr>
              <w:bidi w:val="0"/>
              <w:jc w:val="center"/>
            </w:pPr>
          </w:p>
          <w:p>
            <w:pPr>
              <w:bidi w:val="0"/>
              <w:jc w:val="center"/>
            </w:pPr>
            <w:r>
              <w:t>门禁一体机）</w:t>
            </w:r>
          </w:p>
        </w:tc>
        <w:tc>
          <w:tcPr>
            <w:tcW w:w="676" w:type="pct"/>
            <w:noWrap w:val="0"/>
            <w:vAlign w:val="center"/>
          </w:tcPr>
          <w:p>
            <w:pPr>
              <w:bidi w:val="0"/>
              <w:jc w:val="center"/>
            </w:pPr>
          </w:p>
          <w:p>
            <w:pPr>
              <w:bidi w:val="0"/>
              <w:jc w:val="center"/>
            </w:pPr>
            <w:r>
              <w:rPr>
                <w:rFonts w:hint="eastAsia"/>
                <w:lang w:val="en-US" w:eastAsia="zh-CN"/>
              </w:rPr>
              <w:t>2</w:t>
            </w:r>
            <w:r>
              <w:rPr>
                <w:rFonts w:hint="eastAsia"/>
                <w:lang w:val="en-US"/>
              </w:rPr>
              <w:t>套</w:t>
            </w:r>
          </w:p>
        </w:tc>
        <w:tc>
          <w:tcPr>
            <w:tcW w:w="1579" w:type="pct"/>
            <w:noWrap w:val="0"/>
            <w:vAlign w:val="center"/>
          </w:tcPr>
          <w:p>
            <w:pPr>
              <w:bidi w:val="0"/>
              <w:ind w:left="0" w:leftChars="0" w:firstLine="0" w:firstLineChars="0"/>
              <w:jc w:val="both"/>
            </w:pPr>
            <w:r>
              <w:t>支持指纹和 IC 识别，与监控联动采集现场数据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03" w:type="pct"/>
            <w:vMerge w:val="continue"/>
            <w:tcBorders>
              <w:top w:val="nil"/>
            </w:tcBorders>
            <w:noWrap w:val="0"/>
            <w:vAlign w:val="center"/>
          </w:tcPr>
          <w:p>
            <w:pPr>
              <w:bidi w:val="0"/>
              <w:jc w:val="center"/>
            </w:pPr>
          </w:p>
        </w:tc>
        <w:tc>
          <w:tcPr>
            <w:tcW w:w="661" w:type="pct"/>
            <w:vMerge w:val="continue"/>
            <w:noWrap w:val="0"/>
            <w:vAlign w:val="center"/>
          </w:tcPr>
          <w:p>
            <w:pPr>
              <w:bidi w:val="0"/>
              <w:jc w:val="center"/>
            </w:pPr>
          </w:p>
        </w:tc>
        <w:tc>
          <w:tcPr>
            <w:tcW w:w="1679" w:type="pct"/>
            <w:noWrap w:val="0"/>
            <w:vAlign w:val="center"/>
          </w:tcPr>
          <w:p>
            <w:pPr>
              <w:bidi w:val="0"/>
              <w:jc w:val="center"/>
              <w:rPr>
                <w:rFonts w:hint="eastAsia"/>
              </w:rPr>
            </w:pPr>
            <w:r>
              <w:rPr>
                <w:rFonts w:hint="eastAsia"/>
              </w:rPr>
              <w:t>配套设施</w:t>
            </w:r>
          </w:p>
        </w:tc>
        <w:tc>
          <w:tcPr>
            <w:tcW w:w="676" w:type="pct"/>
            <w:noWrap w:val="0"/>
            <w:vAlign w:val="center"/>
          </w:tcPr>
          <w:p>
            <w:pPr>
              <w:bidi w:val="0"/>
              <w:jc w:val="center"/>
              <w:rPr>
                <w:rFonts w:hint="eastAsia"/>
                <w:lang w:val="en-US"/>
              </w:rPr>
            </w:pPr>
            <w:r>
              <w:rPr>
                <w:rFonts w:hint="eastAsia"/>
                <w:lang w:val="en-US" w:eastAsia="zh-CN"/>
              </w:rPr>
              <w:t>2</w:t>
            </w:r>
            <w:r>
              <w:rPr>
                <w:rFonts w:hint="eastAsia"/>
                <w:lang w:val="en-US"/>
              </w:rPr>
              <w:t>套</w:t>
            </w:r>
          </w:p>
        </w:tc>
        <w:tc>
          <w:tcPr>
            <w:tcW w:w="1579" w:type="pct"/>
            <w:noWrap w:val="0"/>
            <w:vAlign w:val="center"/>
          </w:tcPr>
          <w:p>
            <w:pPr>
              <w:bidi w:val="0"/>
              <w:jc w:val="both"/>
              <w:rPr>
                <w:rFonts w:hint="eastAsia"/>
              </w:rPr>
            </w:pPr>
            <w:r>
              <w:rPr>
                <w:rFonts w:hint="eastAsia"/>
                <w:lang w:val="en-US" w:eastAsia="zh-CN"/>
              </w:rPr>
              <w:t>含：</w:t>
            </w:r>
            <w:r>
              <w:rPr>
                <w:rFonts w:hint="eastAsia"/>
              </w:rPr>
              <w:t>网络机柜、稳压电源</w:t>
            </w:r>
            <w:r>
              <w:rPr>
                <w:rFonts w:hint="eastAsia"/>
                <w:lang w:eastAsia="zh-CN"/>
              </w:rPr>
              <w:t>、</w:t>
            </w:r>
            <w:r>
              <w:rPr>
                <w:rFonts w:hint="eastAsia"/>
                <w:lang w:val="en-US" w:eastAsia="zh-CN"/>
              </w:rPr>
              <w:t>电线路、管路</w:t>
            </w:r>
            <w:r>
              <w:rPr>
                <w:rFonts w:hint="eastAsia"/>
              </w:rPr>
              <w:t>等</w:t>
            </w:r>
          </w:p>
        </w:tc>
      </w:tr>
    </w:tbl>
    <w:p>
      <w:pPr>
        <w:bidi w:val="0"/>
        <w:ind w:left="0" w:leftChars="0" w:firstLine="480" w:firstLineChars="200"/>
        <w:rPr>
          <w:rFonts w:hint="eastAsia" w:ascii="黑体" w:hAnsi="黑体" w:eastAsia="黑体" w:cs="黑体"/>
          <w:lang w:val="en-US" w:eastAsia="zh-CN"/>
        </w:rPr>
      </w:pPr>
      <w:r>
        <w:rPr>
          <w:rFonts w:hint="eastAsia" w:ascii="黑体" w:hAnsi="黑体" w:eastAsia="黑体" w:cs="黑体"/>
          <w:lang w:val="en-US" w:eastAsia="zh-CN"/>
        </w:rPr>
        <w:t>（二）系统运行维护需求</w:t>
      </w:r>
    </w:p>
    <w:p>
      <w:pPr>
        <w:bidi w:val="0"/>
        <w:rPr>
          <w:rFonts w:hint="default"/>
          <w:lang w:val="en-US" w:eastAsia="zh-CN"/>
        </w:rPr>
      </w:pPr>
      <w:r>
        <w:rPr>
          <w:rFonts w:hint="eastAsia"/>
          <w:lang w:val="en-US" w:eastAsia="zh-CN"/>
        </w:rPr>
        <w:t>2.1基本要求</w:t>
      </w:r>
    </w:p>
    <w:p>
      <w:pPr>
        <w:bidi w:val="0"/>
        <w:rPr>
          <w:rFonts w:hint="eastAsia"/>
        </w:rPr>
      </w:pPr>
      <w:r>
        <w:rPr>
          <w:rFonts w:hint="eastAsia"/>
        </w:rPr>
        <w:t>建立运行维护质量管理体系，制定运行维护制度规程，配备专业技术人员、仪器装备和保障设施。通过污染源自动监控平台实时查看在线监测数据和设备运行状态，对小时数据有效性进行判别，及时标记异常数据并上传凭证。根据水质自动分析仪说明书、测量原理、运行环境以及水污染源废水排放特点，制定水污染源在线监测系统日常运行维护规程。按照运行维护规程开展日常运行维护工作并做好记录，其中未明确运行维护频次的时间间隔不超过7天，水质自动分析仪不能满足技术指标要求而失控的，应缩短运行维护的间隔时间。</w:t>
      </w:r>
    </w:p>
    <w:p>
      <w:pPr>
        <w:bidi w:val="0"/>
        <w:rPr>
          <w:rFonts w:hint="default"/>
          <w:lang w:val="en-US" w:eastAsia="zh-CN"/>
        </w:rPr>
      </w:pPr>
      <w:bookmarkStart w:id="0" w:name="_Toc20064"/>
      <w:r>
        <w:rPr>
          <w:rFonts w:hint="eastAsia"/>
          <w:lang w:val="en-US" w:eastAsia="zh-CN"/>
        </w:rPr>
        <w:t>2.2日常维护</w:t>
      </w:r>
    </w:p>
    <w:p>
      <w:pPr>
        <w:bidi w:val="0"/>
        <w:rPr>
          <w:rFonts w:hint="eastAsia"/>
        </w:rPr>
      </w:pPr>
      <w:r>
        <w:rPr>
          <w:rFonts w:hint="eastAsia"/>
          <w:lang w:val="en-US" w:eastAsia="zh-CN"/>
        </w:rPr>
        <w:t>2.2.1</w:t>
      </w:r>
      <w:r>
        <w:rPr>
          <w:rFonts w:hint="eastAsia"/>
        </w:rPr>
        <w:t>废水在线监测系统日常维护</w:t>
      </w:r>
      <w:bookmarkEnd w:id="0"/>
    </w:p>
    <w:p>
      <w:pPr>
        <w:bidi w:val="0"/>
        <w:rPr>
          <w:rFonts w:hint="eastAsia"/>
        </w:rPr>
      </w:pPr>
      <w:r>
        <w:rPr>
          <w:rFonts w:hint="eastAsia"/>
        </w:rPr>
        <w:t>每日上午下午二次远程检查仪器运行状态，检查数据传输系统是否正常，如发现数据有持续性异常情况，应立即前往污染源在线监测房对仪器进行检查。</w:t>
      </w:r>
    </w:p>
    <w:p>
      <w:pPr>
        <w:bidi w:val="0"/>
        <w:rPr>
          <w:rFonts w:hint="eastAsia"/>
        </w:rPr>
      </w:pPr>
      <w:bookmarkStart w:id="1" w:name="_Toc18798"/>
      <w:r>
        <w:rPr>
          <w:rFonts w:hint="eastAsia"/>
          <w:lang w:val="en-US" w:eastAsia="zh-CN"/>
        </w:rPr>
        <w:t>2.2.2</w:t>
      </w:r>
      <w:r>
        <w:rPr>
          <w:rFonts w:hint="eastAsia"/>
        </w:rPr>
        <w:t>流量计运行维护</w:t>
      </w:r>
      <w:bookmarkEnd w:id="1"/>
    </w:p>
    <w:p>
      <w:pPr>
        <w:bidi w:val="0"/>
        <w:rPr>
          <w:rFonts w:hint="eastAsia"/>
        </w:rPr>
      </w:pPr>
      <w:r>
        <w:rPr>
          <w:rFonts w:hint="eastAsia"/>
        </w:rPr>
        <w:t>流量计运行维护：检查量水堰槽，应无变形、腐蚀、损坏，堰槽水流状态应为自由流，排水通畅；检查超声波探头，应安装固定牢靠，确保探头与水面之间无干扰测量的物体，清理堰体内影响流量测定的干扰物；检查流量计参数，流量计量水堰槽型号、尺寸参数、探头距离设置应与实际一致。</w:t>
      </w:r>
    </w:p>
    <w:p>
      <w:pPr>
        <w:bidi w:val="0"/>
        <w:rPr>
          <w:rFonts w:hint="eastAsia"/>
        </w:rPr>
      </w:pPr>
      <w:bookmarkStart w:id="2" w:name="_Toc5668"/>
      <w:r>
        <w:rPr>
          <w:rFonts w:hint="eastAsia"/>
          <w:lang w:val="en-US" w:eastAsia="zh-CN"/>
        </w:rPr>
        <w:t>2.2.3</w:t>
      </w:r>
      <w:r>
        <w:rPr>
          <w:rFonts w:hint="eastAsia"/>
        </w:rPr>
        <w:t>监测站房环境及辅助设施</w:t>
      </w:r>
      <w:bookmarkEnd w:id="2"/>
    </w:p>
    <w:p>
      <w:pPr>
        <w:bidi w:val="0"/>
        <w:rPr>
          <w:rFonts w:hint="eastAsia"/>
        </w:rPr>
      </w:pPr>
      <w:r>
        <w:rPr>
          <w:rFonts w:hint="eastAsia"/>
        </w:rPr>
        <w:t>检查站房环境及辅助设施，站房是否整洁、干净，站房温度、相对湿度等是否符合HJ 354相关要求。</w:t>
      </w:r>
    </w:p>
    <w:p>
      <w:pPr>
        <w:bidi w:val="0"/>
        <w:rPr>
          <w:rFonts w:hint="eastAsia"/>
        </w:rPr>
      </w:pPr>
      <w:r>
        <w:rPr>
          <w:rFonts w:hint="eastAsia"/>
        </w:rPr>
        <w:t>检查空调、视频门禁监控系统、给排水设施、避雷设施是否运行正常。</w:t>
      </w:r>
    </w:p>
    <w:p>
      <w:pPr>
        <w:bidi w:val="0"/>
        <w:rPr>
          <w:rFonts w:hint="eastAsia"/>
        </w:rPr>
      </w:pPr>
      <w:bookmarkStart w:id="3" w:name="_Toc23631"/>
      <w:r>
        <w:rPr>
          <w:rFonts w:hint="eastAsia"/>
          <w:lang w:val="en-US" w:eastAsia="zh-CN"/>
        </w:rPr>
        <w:t>2.2.4</w:t>
      </w:r>
      <w:r>
        <w:rPr>
          <w:rFonts w:hint="eastAsia"/>
        </w:rPr>
        <w:t>水质在线自动分析仪维护</w:t>
      </w:r>
      <w:bookmarkEnd w:id="3"/>
    </w:p>
    <w:p>
      <w:pPr>
        <w:bidi w:val="0"/>
        <w:rPr>
          <w:rFonts w:hint="eastAsia"/>
        </w:rPr>
      </w:pPr>
      <w:r>
        <w:rPr>
          <w:rFonts w:hint="eastAsia"/>
          <w:lang w:eastAsia="zh-CN"/>
        </w:rPr>
        <w:t>（</w:t>
      </w:r>
      <w:r>
        <w:rPr>
          <w:rFonts w:hint="eastAsia"/>
          <w:lang w:val="en-US" w:eastAsia="zh-CN"/>
        </w:rPr>
        <w:t>1</w:t>
      </w:r>
      <w:r>
        <w:rPr>
          <w:rFonts w:hint="eastAsia"/>
          <w:lang w:eastAsia="zh-CN"/>
        </w:rPr>
        <w:t>）</w:t>
      </w:r>
      <w:r>
        <w:rPr>
          <w:rFonts w:hint="eastAsia"/>
        </w:rPr>
        <w:t>水样采集单元</w:t>
      </w:r>
    </w:p>
    <w:p>
      <w:pPr>
        <w:bidi w:val="0"/>
        <w:rPr>
          <w:rFonts w:hint="eastAsia"/>
        </w:rPr>
      </w:pPr>
      <w:r>
        <w:rPr>
          <w:rFonts w:hint="eastAsia"/>
        </w:rPr>
        <w:t>每周检查水样采集单元，采样探头应安装固定牢靠，采样管路应畅通，没有破损或变动，采样泵抽力、水封应正常，</w:t>
      </w:r>
      <w:r>
        <w:rPr>
          <w:rFonts w:hint="eastAsia"/>
          <w:lang w:val="en-US" w:eastAsia="zh-CN"/>
        </w:rPr>
        <w:t>检查</w:t>
      </w:r>
      <w:r>
        <w:rPr>
          <w:rFonts w:hint="eastAsia"/>
        </w:rPr>
        <w:t>采样管路应</w:t>
      </w:r>
      <w:r>
        <w:rPr>
          <w:rFonts w:hint="eastAsia"/>
          <w:lang w:val="en-US" w:eastAsia="zh-CN"/>
        </w:rPr>
        <w:t>确保</w:t>
      </w:r>
      <w:r>
        <w:rPr>
          <w:rFonts w:hint="eastAsia"/>
        </w:rPr>
        <w:t>运行正常。自动采样器的测试水样混合混匀、水样冷藏、自动清洗及排空等功能，保证系统正常运转。检查反吹、清洗管路是否正常；</w:t>
      </w:r>
    </w:p>
    <w:p>
      <w:pPr>
        <w:bidi w:val="0"/>
        <w:rPr>
          <w:rFonts w:hint="eastAsia"/>
        </w:rPr>
      </w:pPr>
      <w:r>
        <w:rPr>
          <w:rFonts w:hint="eastAsia"/>
        </w:rPr>
        <w:t>每月应手动测试水样采集单元电机、电磁阀、感应器、采样泵、超标留样功能，保证设备正常工作。检查并清洗管路、混匀桶、留样桶、过滤网等设施，保持清洁；</w:t>
      </w:r>
    </w:p>
    <w:p>
      <w:pPr>
        <w:bidi w:val="0"/>
        <w:rPr>
          <w:rFonts w:hint="eastAsia"/>
          <w:b/>
          <w:bCs/>
        </w:rPr>
      </w:pPr>
      <w:r>
        <w:rPr>
          <w:rFonts w:hint="eastAsia"/>
          <w:b/>
          <w:bCs/>
        </w:rPr>
        <w:t>每3个月应对采样泵进行保养，及时更换蠕动泵管。</w:t>
      </w:r>
    </w:p>
    <w:p>
      <w:pPr>
        <w:bidi w:val="0"/>
        <w:rPr>
          <w:rFonts w:hint="eastAsia"/>
        </w:rPr>
      </w:pPr>
      <w:r>
        <w:rPr>
          <w:rFonts w:hint="eastAsia"/>
          <w:lang w:eastAsia="zh-CN"/>
        </w:rPr>
        <w:t>（</w:t>
      </w:r>
      <w:r>
        <w:rPr>
          <w:rFonts w:hint="eastAsia"/>
          <w:lang w:val="en-US" w:eastAsia="zh-CN"/>
        </w:rPr>
        <w:t>2</w:t>
      </w:r>
      <w:r>
        <w:rPr>
          <w:rFonts w:hint="eastAsia"/>
          <w:lang w:eastAsia="zh-CN"/>
        </w:rPr>
        <w:t>）</w:t>
      </w:r>
      <w:r>
        <w:rPr>
          <w:rFonts w:hint="eastAsia"/>
        </w:rPr>
        <w:t>加药计量单元</w:t>
      </w:r>
    </w:p>
    <w:p>
      <w:pPr>
        <w:bidi w:val="0"/>
        <w:rPr>
          <w:rFonts w:hint="eastAsia"/>
        </w:rPr>
      </w:pPr>
      <w:r>
        <w:rPr>
          <w:rFonts w:hint="eastAsia"/>
        </w:rPr>
        <w:t>在手动状态或维护状态下，检查加药计量单元，泵体应工作正常，泵管应通畅、无老化现象，电磁阀供电应正常，线路无老化，各阀体流路应通畅，无腐蚀、漏液、滴液、漏气现象，试剂、水样应能正常提取和排出；</w:t>
      </w:r>
    </w:p>
    <w:p>
      <w:pPr>
        <w:bidi w:val="0"/>
        <w:rPr>
          <w:rFonts w:hint="eastAsia"/>
        </w:rPr>
      </w:pPr>
      <w:r>
        <w:rPr>
          <w:rFonts w:hint="eastAsia"/>
        </w:rPr>
        <w:t>每月至少检查一次蠕动泵管，如有挤压变形、漏气现象，应及时进行泵管移位或者更换。</w:t>
      </w:r>
    </w:p>
    <w:p>
      <w:pPr>
        <w:bidi w:val="0"/>
        <w:rPr>
          <w:rFonts w:hint="eastAsia"/>
        </w:rPr>
      </w:pPr>
      <w:r>
        <w:rPr>
          <w:rFonts w:hint="eastAsia"/>
        </w:rPr>
        <w:t>每3个月至少更换一次蠕动泵管，检查加药量计量准确性，更换蠕动泵管或者加药量计量异常时，应对加药量计量装置进行校正。</w:t>
      </w:r>
    </w:p>
    <w:p>
      <w:pPr>
        <w:bidi w:val="0"/>
        <w:rPr>
          <w:rFonts w:hint="eastAsia"/>
        </w:rPr>
      </w:pPr>
      <w:r>
        <w:rPr>
          <w:rFonts w:hint="eastAsia"/>
          <w:lang w:eastAsia="zh-CN"/>
        </w:rPr>
        <w:t>（</w:t>
      </w:r>
      <w:r>
        <w:rPr>
          <w:rFonts w:hint="eastAsia"/>
          <w:lang w:val="en-US" w:eastAsia="zh-CN"/>
        </w:rPr>
        <w:t>3</w:t>
      </w:r>
      <w:r>
        <w:rPr>
          <w:rFonts w:hint="eastAsia"/>
          <w:lang w:eastAsia="zh-CN"/>
        </w:rPr>
        <w:t>）</w:t>
      </w:r>
      <w:r>
        <w:rPr>
          <w:rFonts w:hint="eastAsia"/>
        </w:rPr>
        <w:t>预处理单元</w:t>
      </w:r>
    </w:p>
    <w:p>
      <w:pPr>
        <w:bidi w:val="0"/>
        <w:rPr>
          <w:rFonts w:hint="eastAsia"/>
        </w:rPr>
      </w:pPr>
      <w:r>
        <w:rPr>
          <w:rFonts w:hint="eastAsia"/>
        </w:rPr>
        <w:t>检查样品加热消解装置，消解时间、消解温度应设置正确，加热器能快速加热到设定温度，COD水质分析仪消解温度应不低于165 ℃、消解时间应不低于10分钟，</w:t>
      </w:r>
      <w:r>
        <w:rPr>
          <w:rFonts w:hint="eastAsia"/>
          <w:lang w:val="en-US" w:eastAsia="zh-CN"/>
        </w:rPr>
        <w:t>氨氮</w:t>
      </w:r>
      <w:r>
        <w:rPr>
          <w:rFonts w:hint="eastAsia"/>
        </w:rPr>
        <w:t>水质分析仪消解温度应不低于120 ℃；</w:t>
      </w:r>
    </w:p>
    <w:p>
      <w:pPr>
        <w:bidi w:val="0"/>
        <w:rPr>
          <w:rFonts w:hint="eastAsia"/>
        </w:rPr>
      </w:pPr>
      <w:r>
        <w:rPr>
          <w:rFonts w:hint="eastAsia"/>
        </w:rPr>
        <w:t>检查消解杯，保证无结晶、结垢、漏液现象，加热时不存在沸腾、冒泡现象；</w:t>
      </w:r>
    </w:p>
    <w:p>
      <w:pPr>
        <w:bidi w:val="0"/>
        <w:rPr>
          <w:rFonts w:hint="eastAsia"/>
        </w:rPr>
      </w:pPr>
      <w:r>
        <w:rPr>
          <w:rFonts w:hint="eastAsia"/>
        </w:rPr>
        <w:t>检查样品冷却装置，应能正常运转，确保散热冷却效果。</w:t>
      </w:r>
    </w:p>
    <w:p>
      <w:pPr>
        <w:bidi w:val="0"/>
        <w:rPr>
          <w:rFonts w:hint="eastAsia"/>
        </w:rPr>
      </w:pPr>
      <w:r>
        <w:rPr>
          <w:rFonts w:hint="eastAsia"/>
          <w:lang w:eastAsia="zh-CN"/>
        </w:rPr>
        <w:t>（</w:t>
      </w:r>
      <w:r>
        <w:rPr>
          <w:rFonts w:hint="eastAsia"/>
          <w:lang w:val="en-US" w:eastAsia="zh-CN"/>
        </w:rPr>
        <w:t>4</w:t>
      </w:r>
      <w:r>
        <w:rPr>
          <w:rFonts w:hint="eastAsia"/>
          <w:lang w:eastAsia="zh-CN"/>
        </w:rPr>
        <w:t>）</w:t>
      </w:r>
      <w:r>
        <w:rPr>
          <w:rFonts w:hint="eastAsia"/>
        </w:rPr>
        <w:t>测量单元</w:t>
      </w:r>
    </w:p>
    <w:p>
      <w:pPr>
        <w:bidi w:val="0"/>
        <w:rPr>
          <w:rFonts w:hint="eastAsia"/>
        </w:rPr>
      </w:pPr>
      <w:r>
        <w:rPr>
          <w:rFonts w:hint="eastAsia"/>
        </w:rPr>
        <w:t>检查分光光度法设备的比色池，确保无污物遮挡光路，无漏液；检查电极法设备的电极，及时更换电极填充液，电极膜片应无污染。</w:t>
      </w:r>
    </w:p>
    <w:p>
      <w:pPr>
        <w:bidi w:val="0"/>
        <w:rPr>
          <w:rFonts w:hint="eastAsia"/>
        </w:rPr>
      </w:pPr>
      <w:r>
        <w:rPr>
          <w:rFonts w:hint="eastAsia"/>
          <w:b/>
          <w:bCs/>
        </w:rPr>
        <w:t>每30天至少检查一次光源的强度</w:t>
      </w:r>
      <w:r>
        <w:rPr>
          <w:rFonts w:hint="eastAsia"/>
        </w:rPr>
        <w:t>，保证比色电压值、测量吸光度等参数均在正常范围。检测光源达不到设备测量要求的应及时更换。检查电极法测量氨氮电能信号与高低电能值，保证两者差值在正常范围，检查电极表面是否出现钝化，钝化多次打磨后仍不符合要求的，需要及时更换电极。</w:t>
      </w:r>
    </w:p>
    <w:p>
      <w:pPr>
        <w:bidi w:val="0"/>
        <w:rPr>
          <w:rFonts w:hint="eastAsia"/>
        </w:rPr>
      </w:pPr>
      <w:r>
        <w:rPr>
          <w:rFonts w:hint="eastAsia"/>
          <w:lang w:eastAsia="zh-CN"/>
        </w:rPr>
        <w:t>（</w:t>
      </w:r>
      <w:r>
        <w:rPr>
          <w:rFonts w:hint="eastAsia"/>
          <w:lang w:val="en-US" w:eastAsia="zh-CN"/>
        </w:rPr>
        <w:t>5</w:t>
      </w:r>
      <w:r>
        <w:rPr>
          <w:rFonts w:hint="eastAsia"/>
          <w:lang w:eastAsia="zh-CN"/>
        </w:rPr>
        <w:t>）</w:t>
      </w:r>
      <w:r>
        <w:rPr>
          <w:rFonts w:hint="eastAsia"/>
        </w:rPr>
        <w:t>试剂标样单元</w:t>
      </w:r>
    </w:p>
    <w:p>
      <w:pPr>
        <w:bidi w:val="0"/>
        <w:rPr>
          <w:rFonts w:hint="eastAsia"/>
        </w:rPr>
      </w:pPr>
      <w:r>
        <w:rPr>
          <w:rFonts w:hint="eastAsia"/>
        </w:rPr>
        <w:t>检查试剂标样情况，试剂标样在有效期内，无变质、变色，余量不低于试剂瓶的1/5；</w:t>
      </w:r>
    </w:p>
    <w:p>
      <w:pPr>
        <w:bidi w:val="0"/>
        <w:rPr>
          <w:rFonts w:hint="eastAsia"/>
        </w:rPr>
      </w:pPr>
      <w:r>
        <w:rPr>
          <w:rFonts w:hint="eastAsia"/>
        </w:rPr>
        <w:t>检查试剂标样标签信息，标签应注明名称、浓度、配置日期、有效期、配置人员。水质自动分析仪内试剂标样浓度设置应与标签浓度一致。</w:t>
      </w:r>
    </w:p>
    <w:p>
      <w:pPr>
        <w:bidi w:val="0"/>
        <w:rPr>
          <w:rFonts w:hint="eastAsia"/>
        </w:rPr>
      </w:pPr>
      <w:r>
        <w:rPr>
          <w:rFonts w:hint="eastAsia"/>
          <w:lang w:eastAsia="zh-CN"/>
        </w:rPr>
        <w:t>（</w:t>
      </w:r>
      <w:r>
        <w:rPr>
          <w:rFonts w:hint="eastAsia"/>
          <w:lang w:val="en-US" w:eastAsia="zh-CN"/>
        </w:rPr>
        <w:t>6</w:t>
      </w:r>
      <w:r>
        <w:rPr>
          <w:rFonts w:hint="eastAsia"/>
          <w:lang w:eastAsia="zh-CN"/>
        </w:rPr>
        <w:t>）</w:t>
      </w:r>
      <w:r>
        <w:rPr>
          <w:rFonts w:hint="eastAsia"/>
        </w:rPr>
        <w:t>设备显示与按键单元</w:t>
      </w:r>
    </w:p>
    <w:p>
      <w:pPr>
        <w:bidi w:val="0"/>
        <w:rPr>
          <w:rFonts w:hint="eastAsia"/>
        </w:rPr>
      </w:pPr>
      <w:r>
        <w:rPr>
          <w:rFonts w:hint="eastAsia"/>
        </w:rPr>
        <w:t>检查设备屏幕和按键，屏幕显示清晰，按键操作灵敏。</w:t>
      </w:r>
    </w:p>
    <w:p>
      <w:pPr>
        <w:bidi w:val="0"/>
        <w:rPr>
          <w:rFonts w:hint="eastAsia"/>
        </w:rPr>
      </w:pPr>
      <w:r>
        <w:rPr>
          <w:rFonts w:hint="eastAsia"/>
          <w:lang w:eastAsia="zh-CN"/>
        </w:rPr>
        <w:t>（</w:t>
      </w:r>
      <w:r>
        <w:rPr>
          <w:rFonts w:hint="eastAsia"/>
          <w:lang w:val="en-US" w:eastAsia="zh-CN"/>
        </w:rPr>
        <w:t>7</w:t>
      </w:r>
      <w:r>
        <w:rPr>
          <w:rFonts w:hint="eastAsia"/>
          <w:lang w:eastAsia="zh-CN"/>
        </w:rPr>
        <w:t>）</w:t>
      </w:r>
      <w:r>
        <w:rPr>
          <w:rFonts w:hint="eastAsia"/>
        </w:rPr>
        <w:t>数据采集传输单元</w:t>
      </w:r>
    </w:p>
    <w:p>
      <w:pPr>
        <w:bidi w:val="0"/>
        <w:rPr>
          <w:rFonts w:hint="eastAsia"/>
        </w:rPr>
      </w:pPr>
      <w:r>
        <w:rPr>
          <w:rFonts w:hint="eastAsia"/>
        </w:rPr>
        <w:t>检查数据采集传输单元运行状态，无欠费、死机、停机、传输中断现象，及时处理异常报警。</w:t>
      </w:r>
    </w:p>
    <w:p>
      <w:pPr>
        <w:bidi w:val="0"/>
        <w:rPr>
          <w:rFonts w:hint="eastAsia"/>
        </w:rPr>
      </w:pPr>
      <w:r>
        <w:rPr>
          <w:rFonts w:hint="eastAsia"/>
        </w:rPr>
        <w:t>数据、测量参数与运行状态</w:t>
      </w:r>
    </w:p>
    <w:p>
      <w:pPr>
        <w:bidi w:val="0"/>
        <w:rPr>
          <w:rFonts w:hint="eastAsia"/>
        </w:rPr>
      </w:pPr>
      <w:r>
        <w:rPr>
          <w:rFonts w:hint="eastAsia"/>
        </w:rPr>
        <w:t>抽查数据传输正确性，污染源自动监控平台接收的数据和现场数据一致；</w:t>
      </w:r>
    </w:p>
    <w:p>
      <w:pPr>
        <w:bidi w:val="0"/>
        <w:rPr>
          <w:rFonts w:hint="eastAsia"/>
        </w:rPr>
      </w:pPr>
      <w:r>
        <w:rPr>
          <w:rFonts w:hint="eastAsia"/>
        </w:rPr>
        <w:t>检查测量参数是否在合理范围内，是否与验收、备案一致，如需修改调整，注明修改原因；</w:t>
      </w:r>
    </w:p>
    <w:p>
      <w:pPr>
        <w:bidi w:val="0"/>
        <w:rPr>
          <w:rFonts w:hint="eastAsia"/>
        </w:rPr>
      </w:pPr>
      <w:r>
        <w:rPr>
          <w:rFonts w:hint="eastAsia"/>
        </w:rPr>
        <w:t>检查设备运行状态是否正常，操作日志中有无异常操作记录，及时处理异常报警。</w:t>
      </w:r>
    </w:p>
    <w:p>
      <w:pPr>
        <w:bidi w:val="0"/>
        <w:rPr>
          <w:rFonts w:hint="eastAsia"/>
        </w:rPr>
      </w:pPr>
      <w:bookmarkStart w:id="4" w:name="_Toc4885"/>
      <w:r>
        <w:rPr>
          <w:rFonts w:hint="eastAsia"/>
          <w:lang w:eastAsia="zh-CN"/>
        </w:rPr>
        <w:t>（</w:t>
      </w:r>
      <w:r>
        <w:rPr>
          <w:rFonts w:hint="eastAsia"/>
          <w:lang w:val="en-US" w:eastAsia="zh-CN"/>
        </w:rPr>
        <w:t>8</w:t>
      </w:r>
      <w:r>
        <w:rPr>
          <w:rFonts w:hint="eastAsia"/>
          <w:lang w:eastAsia="zh-CN"/>
        </w:rPr>
        <w:t>）</w:t>
      </w:r>
      <w:r>
        <w:rPr>
          <w:rFonts w:hint="eastAsia"/>
        </w:rPr>
        <w:t xml:space="preserve"> pH、余氯在线监测分析仪</w:t>
      </w:r>
      <w:bookmarkEnd w:id="4"/>
    </w:p>
    <w:p>
      <w:pPr>
        <w:bidi w:val="0"/>
        <w:rPr>
          <w:rFonts w:hint="eastAsia"/>
        </w:rPr>
      </w:pPr>
      <w:r>
        <w:rPr>
          <w:rFonts w:hint="eastAsia"/>
        </w:rPr>
        <w:t>每月至少用酸液清洗一次电极，检查电极是否钝化，必要时进行校准或更换。</w:t>
      </w:r>
    </w:p>
    <w:p>
      <w:pPr>
        <w:bidi w:val="0"/>
        <w:rPr>
          <w:rFonts w:hint="eastAsia"/>
        </w:rPr>
      </w:pPr>
      <w:r>
        <w:rPr>
          <w:rFonts w:hint="eastAsia"/>
        </w:rPr>
        <w:t>每月至少进行一次现场水温比对试验，必要时进行校准或更换。</w:t>
      </w:r>
    </w:p>
    <w:p>
      <w:pPr>
        <w:bidi w:val="0"/>
        <w:rPr>
          <w:rFonts w:hint="eastAsia"/>
        </w:rPr>
      </w:pPr>
      <w:bookmarkStart w:id="5" w:name="_Toc26720"/>
      <w:r>
        <w:rPr>
          <w:rFonts w:hint="eastAsia"/>
          <w:lang w:eastAsia="zh-CN"/>
        </w:rPr>
        <w:t>（</w:t>
      </w:r>
      <w:r>
        <w:rPr>
          <w:rFonts w:hint="eastAsia"/>
          <w:lang w:val="en-US" w:eastAsia="zh-CN"/>
        </w:rPr>
        <w:t>9</w:t>
      </w:r>
      <w:r>
        <w:rPr>
          <w:rFonts w:hint="eastAsia"/>
          <w:lang w:eastAsia="zh-CN"/>
        </w:rPr>
        <w:t>）</w:t>
      </w:r>
      <w:r>
        <w:rPr>
          <w:rFonts w:hint="eastAsia"/>
        </w:rPr>
        <w:t>校准和比对试验</w:t>
      </w:r>
      <w:bookmarkEnd w:id="5"/>
    </w:p>
    <w:p>
      <w:pPr>
        <w:bidi w:val="0"/>
        <w:rPr>
          <w:rFonts w:hint="eastAsia"/>
        </w:rPr>
      </w:pPr>
      <w:r>
        <w:rPr>
          <w:rFonts w:hint="eastAsia"/>
        </w:rPr>
        <w:t>每周至少对化学需氧量（CODCr）、氨氮（NH3-N）等水质自动分析仪进行一次自动标样核查，结果应满足技术规范要求，如果不符合要求则应对仪器进行校准，校准周期最长间隔不得超过168 h，自动标样核查和自动校准方法按照HJ 355相关要求执行。</w:t>
      </w:r>
    </w:p>
    <w:p>
      <w:pPr>
        <w:bidi w:val="0"/>
        <w:rPr>
          <w:rFonts w:hint="eastAsia"/>
        </w:rPr>
      </w:pPr>
      <w:r>
        <w:rPr>
          <w:rFonts w:hint="eastAsia"/>
        </w:rPr>
        <w:t>每月至少对化学需氧量（CODCr）、氨氮（NH3-N）、总余氯、pH水质自动分析仪及流量计进行一次比对试验，结果应满足技术规范要求，比对试验方法按照HJ355相关要求执行。</w:t>
      </w:r>
    </w:p>
    <w:p>
      <w:pPr>
        <w:bidi w:val="0"/>
        <w:rPr>
          <w:rFonts w:hint="eastAsia"/>
        </w:rPr>
      </w:pPr>
      <w:bookmarkStart w:id="6" w:name="_Toc31577"/>
      <w:r>
        <w:rPr>
          <w:rFonts w:hint="eastAsia"/>
          <w:lang w:eastAsia="zh-CN"/>
        </w:rPr>
        <w:t>（</w:t>
      </w:r>
      <w:r>
        <w:rPr>
          <w:rFonts w:hint="eastAsia"/>
          <w:lang w:val="en-US" w:eastAsia="zh-CN"/>
        </w:rPr>
        <w:t>10</w:t>
      </w:r>
      <w:r>
        <w:rPr>
          <w:rFonts w:hint="eastAsia"/>
          <w:lang w:eastAsia="zh-CN"/>
        </w:rPr>
        <w:t>）</w:t>
      </w:r>
      <w:r>
        <w:rPr>
          <w:rFonts w:hint="eastAsia"/>
        </w:rPr>
        <w:t>异常处理</w:t>
      </w:r>
      <w:bookmarkEnd w:id="6"/>
    </w:p>
    <w:p>
      <w:pPr>
        <w:bidi w:val="0"/>
        <w:rPr>
          <w:rFonts w:hint="eastAsia"/>
        </w:rPr>
      </w:pPr>
      <w:r>
        <w:rPr>
          <w:rFonts w:hint="eastAsia"/>
        </w:rPr>
        <w:t>8:00～17:00时间段内水污染源在线监测系统故障或数据异常的，应2小时内赶到现场进行故障排除；其他时间段，应次日9:30之前到达现场进行故障排除；水污染源在线监测系统故障或数据异常，应在12小时内将相关情况上报污染源自动监控平台，对相应时段数据进行标记；对电磁阀控制失灵、泵损坏、管路堵塞、电源故障、数据采集传输故障等一般故障，应在6小时内修复；</w:t>
      </w:r>
    </w:p>
    <w:p>
      <w:pPr>
        <w:bidi w:val="0"/>
        <w:rPr>
          <w:rFonts w:hint="eastAsia"/>
        </w:rPr>
      </w:pPr>
      <w:r>
        <w:rPr>
          <w:rFonts w:hint="eastAsia"/>
        </w:rPr>
        <w:t>水污染源在线监测系统不能正常运行超过6小时，应组织开展人工监测，监测周期间隔不大于6小时，每天不少于4次；水污染源在线监测系统不能正常运行超过72小时，应安装备用仪器。备用仪器投入使用之前应按要求进行校准和比对试验；</w:t>
      </w:r>
    </w:p>
    <w:p>
      <w:pPr>
        <w:bidi w:val="0"/>
        <w:rPr>
          <w:rFonts w:hint="eastAsia"/>
        </w:rPr>
      </w:pPr>
      <w:r>
        <w:rPr>
          <w:rFonts w:hint="eastAsia"/>
        </w:rPr>
        <w:t>因水污染源停运同时按规定停运在线监测系统的，应在水污染源启运之前启运在线监测系统，并进行校准校验。</w:t>
      </w:r>
    </w:p>
    <w:p>
      <w:pPr>
        <w:bidi w:val="0"/>
        <w:rPr>
          <w:rFonts w:hint="eastAsia"/>
        </w:rPr>
      </w:pPr>
      <w:bookmarkStart w:id="7" w:name="_Toc19149"/>
      <w:r>
        <w:rPr>
          <w:rFonts w:hint="eastAsia"/>
          <w:lang w:eastAsia="zh-CN"/>
        </w:rPr>
        <w:t>（</w:t>
      </w:r>
      <w:r>
        <w:rPr>
          <w:rFonts w:hint="eastAsia"/>
          <w:lang w:val="en-US" w:eastAsia="zh-CN"/>
        </w:rPr>
        <w:t>11</w:t>
      </w:r>
      <w:r>
        <w:rPr>
          <w:rFonts w:hint="eastAsia"/>
          <w:lang w:eastAsia="zh-CN"/>
        </w:rPr>
        <w:t>）</w:t>
      </w:r>
      <w:r>
        <w:rPr>
          <w:rFonts w:hint="eastAsia"/>
        </w:rPr>
        <w:t>信息记录</w:t>
      </w:r>
      <w:bookmarkEnd w:id="7"/>
    </w:p>
    <w:p>
      <w:pPr>
        <w:bidi w:val="0"/>
        <w:rPr>
          <w:rFonts w:hint="eastAsia"/>
        </w:rPr>
      </w:pPr>
      <w:r>
        <w:rPr>
          <w:rFonts w:hint="eastAsia"/>
        </w:rPr>
        <w:t>现场运行维护应记录日常巡检、校准校验、参数修改、故障处理、设备维修、耗材更换、标准物质使用、废液处置、站房出入人员等内容。监测站房内至少存放最近1年的运行维护记录，以及监测设备说明书、安装调试报告、比对监测报告、验收报告等；</w:t>
      </w:r>
    </w:p>
    <w:p>
      <w:pPr>
        <w:bidi w:val="0"/>
        <w:rPr>
          <w:rFonts w:hint="eastAsia"/>
        </w:rPr>
      </w:pPr>
      <w:r>
        <w:rPr>
          <w:rFonts w:hint="eastAsia"/>
        </w:rPr>
        <w:t>使用信息化管理系统存储的系统运行状态、监控数据、运行维护人员和运行维护任务管理、档案记录、质量考核等数据应每日进行备份，确保数据安全。</w:t>
      </w:r>
    </w:p>
    <w:p>
      <w:pPr>
        <w:bidi w:val="0"/>
        <w:rPr>
          <w:rFonts w:hint="eastAsia"/>
        </w:rPr>
      </w:pPr>
      <w:bookmarkStart w:id="8" w:name="_Toc16520"/>
      <w:r>
        <w:rPr>
          <w:rFonts w:hint="eastAsia"/>
          <w:lang w:eastAsia="zh-CN"/>
        </w:rPr>
        <w:t>（</w:t>
      </w:r>
      <w:r>
        <w:rPr>
          <w:rFonts w:hint="eastAsia"/>
          <w:lang w:val="en-US" w:eastAsia="zh-CN"/>
        </w:rPr>
        <w:t>12</w:t>
      </w:r>
      <w:r>
        <w:rPr>
          <w:rFonts w:hint="eastAsia"/>
          <w:lang w:eastAsia="zh-CN"/>
        </w:rPr>
        <w:t>）</w:t>
      </w:r>
      <w:r>
        <w:rPr>
          <w:rFonts w:hint="eastAsia"/>
        </w:rPr>
        <w:t>废液处理收集处置</w:t>
      </w:r>
      <w:bookmarkEnd w:id="8"/>
    </w:p>
    <w:p>
      <w:pPr>
        <w:bidi w:val="0"/>
        <w:rPr>
          <w:rFonts w:hint="eastAsia"/>
        </w:rPr>
      </w:pPr>
      <w:r>
        <w:rPr>
          <w:rFonts w:hint="eastAsia"/>
        </w:rPr>
        <w:t>水污染源在线监测仪器产生的废液应按照国家相关法律法规按危险废物（HW49）妥善处置，并做好记录，不得随意排放或回流入污水排放口。</w:t>
      </w:r>
    </w:p>
    <w:p>
      <w:pPr>
        <w:bidi w:val="0"/>
        <w:rPr>
          <w:rFonts w:hint="eastAsia"/>
          <w:lang w:val="en-US" w:eastAsia="zh-CN"/>
        </w:rPr>
      </w:pPr>
      <w:r>
        <w:rPr>
          <w:rFonts w:hint="eastAsia"/>
          <w:lang w:val="en-US" w:eastAsia="zh-CN"/>
        </w:rPr>
        <w:t>（13）运行维护其他要求</w:t>
      </w:r>
    </w:p>
    <w:p>
      <w:pPr>
        <w:bidi w:val="0"/>
        <w:rPr>
          <w:rFonts w:hint="eastAsia"/>
        </w:rPr>
      </w:pPr>
      <w:r>
        <w:rPr>
          <w:rFonts w:hint="eastAsia"/>
          <w:lang w:val="en-US" w:eastAsia="zh-CN"/>
        </w:rPr>
        <w:t>a、</w:t>
      </w:r>
      <w:r>
        <w:rPr>
          <w:rFonts w:hint="eastAsia"/>
        </w:rPr>
        <w:t xml:space="preserve">专业人员维护（1 次/周、持证上岗）； </w:t>
      </w:r>
    </w:p>
    <w:p>
      <w:pPr>
        <w:bidi w:val="0"/>
        <w:rPr>
          <w:rFonts w:hint="eastAsia"/>
        </w:rPr>
      </w:pPr>
      <w:r>
        <w:rPr>
          <w:rFonts w:hint="eastAsia"/>
          <w:lang w:val="en-US" w:eastAsia="zh-CN"/>
        </w:rPr>
        <w:t>b、</w:t>
      </w:r>
      <w:r>
        <w:rPr>
          <w:rFonts w:hint="eastAsia"/>
        </w:rPr>
        <w:t xml:space="preserve">检测试剂更换及采购； </w:t>
      </w:r>
    </w:p>
    <w:p>
      <w:pPr>
        <w:bidi w:val="0"/>
        <w:rPr>
          <w:rFonts w:hint="eastAsia"/>
          <w:lang w:val="en-US" w:eastAsia="zh-CN"/>
        </w:rPr>
      </w:pPr>
      <w:r>
        <w:rPr>
          <w:rFonts w:hint="eastAsia"/>
          <w:b/>
          <w:bCs/>
          <w:lang w:val="en-US" w:eastAsia="zh-CN"/>
        </w:rPr>
        <w:t>c、</w:t>
      </w:r>
      <w:r>
        <w:rPr>
          <w:rFonts w:hint="eastAsia"/>
          <w:b/>
          <w:bCs/>
        </w:rPr>
        <w:t>损耗品更换（PH 计传感器更换 1 次 /年、余氯检测传感器更换 1 次/年</w:t>
      </w:r>
      <w:r>
        <w:rPr>
          <w:rFonts w:hint="eastAsia"/>
          <w:b/>
          <w:bCs/>
          <w:lang w:eastAsia="zh-CN"/>
        </w:rPr>
        <w:t>、</w:t>
      </w:r>
      <w:r>
        <w:rPr>
          <w:rFonts w:hint="eastAsia"/>
          <w:b/>
          <w:bCs/>
          <w:lang w:val="en-US" w:eastAsia="zh-CN"/>
        </w:rPr>
        <w:t>蠕动泵管、抽样水泵</w:t>
      </w:r>
      <w:r>
        <w:rPr>
          <w:rFonts w:hint="eastAsia"/>
          <w:b/>
          <w:bCs/>
        </w:rPr>
        <w:t>）；</w:t>
      </w:r>
      <w:r>
        <w:rPr>
          <w:rFonts w:hint="eastAsia"/>
        </w:rPr>
        <w:t xml:space="preserve"> </w:t>
      </w:r>
    </w:p>
    <w:p>
      <w:pPr>
        <w:bidi w:val="0"/>
        <w:rPr>
          <w:rFonts w:hint="eastAsia"/>
          <w:lang w:val="en-US" w:eastAsia="zh-CN"/>
        </w:rPr>
      </w:pPr>
      <w:r>
        <w:rPr>
          <w:rFonts w:hint="eastAsia"/>
          <w:b/>
          <w:bCs/>
          <w:lang w:val="en-US" w:eastAsia="zh-CN"/>
        </w:rPr>
        <w:t>d、</w:t>
      </w:r>
      <w:r>
        <w:rPr>
          <w:rFonts w:hint="eastAsia"/>
          <w:b/>
          <w:bCs/>
        </w:rPr>
        <w:t>常规备品备件更换（含管、阀、连接件等）；</w:t>
      </w:r>
    </w:p>
    <w:p>
      <w:pPr>
        <w:bidi w:val="0"/>
        <w:rPr>
          <w:rFonts w:hint="eastAsia"/>
        </w:rPr>
      </w:pPr>
      <w:r>
        <w:rPr>
          <w:rFonts w:hint="eastAsia"/>
          <w:lang w:val="en-US" w:eastAsia="zh-CN"/>
        </w:rPr>
        <w:t>e、</w:t>
      </w:r>
      <w:r>
        <w:rPr>
          <w:rFonts w:hint="eastAsia"/>
        </w:rPr>
        <w:t>主要日常维护：采样管路清洗 1 次/周、化学需氧量（CODCr）、氨氮（NH3-N）等水质自动分析仪自动标样核查 1 次/周、电极填充液更换、日常设备巡检、告警记录与故障排除等。</w:t>
      </w:r>
      <w:bookmarkStart w:id="9" w:name="_bookmark20"/>
      <w:bookmarkEnd w:id="9"/>
      <w:bookmarkStart w:id="10" w:name="7、年度运维"/>
      <w:bookmarkEnd w:id="10"/>
      <w:bookmarkStart w:id="11" w:name="_bookmark19"/>
      <w:bookmarkEnd w:id="11"/>
      <w:bookmarkStart w:id="12" w:name="6、投资概算"/>
      <w:bookmarkEnd w:id="12"/>
    </w:p>
    <w:p>
      <w:pPr>
        <w:bidi w:val="0"/>
        <w:rPr>
          <w:rFonts w:hint="eastAsia"/>
        </w:rPr>
      </w:pPr>
      <w:r>
        <w:rPr>
          <w:rFonts w:hint="eastAsia"/>
          <w:lang w:val="en-US" w:eastAsia="zh-CN"/>
        </w:rPr>
        <w:t>2.3</w:t>
      </w:r>
      <w:r>
        <w:rPr>
          <w:rFonts w:hint="eastAsia"/>
        </w:rPr>
        <w:t>年度运维</w:t>
      </w:r>
    </w:p>
    <w:p>
      <w:pPr>
        <w:bidi w:val="0"/>
        <w:rPr>
          <w:rFonts w:hint="eastAsia"/>
          <w:lang w:val="en-US" w:eastAsia="zh-CN"/>
        </w:rPr>
      </w:pPr>
      <w:r>
        <w:rPr>
          <w:rFonts w:hint="eastAsia"/>
        </w:rPr>
        <w:t>按照国家及省市环保要求开展日常运维工作。</w:t>
      </w:r>
      <w:r>
        <w:rPr>
          <w:rFonts w:hint="eastAsia"/>
          <w:lang w:val="en-US" w:eastAsia="zh-CN"/>
        </w:rPr>
        <w:t>本项目要求的运维服务期为</w:t>
      </w:r>
      <w:r>
        <w:rPr>
          <w:rFonts w:hint="eastAsia"/>
          <w:highlight w:val="yellow"/>
          <w:lang w:val="en-US" w:eastAsia="zh-CN"/>
        </w:rPr>
        <w:t>2</w:t>
      </w:r>
      <w:r>
        <w:rPr>
          <w:rFonts w:hint="eastAsia"/>
          <w:lang w:val="en-US" w:eastAsia="zh-CN"/>
        </w:rPr>
        <w:t>年。</w:t>
      </w:r>
    </w:p>
    <w:p>
      <w:pPr>
        <w:bidi w:val="0"/>
        <w:rPr>
          <w:rFonts w:hint="eastAsia" w:eastAsia="仿宋"/>
          <w:lang w:val="en-US" w:eastAsia="zh-CN"/>
        </w:rPr>
      </w:pPr>
      <w:r>
        <w:rPr>
          <w:rFonts w:hint="eastAsia"/>
          <w:lang w:val="en-US" w:eastAsia="zh-CN"/>
        </w:rPr>
        <w:t>2.3.1</w:t>
      </w:r>
      <w:r>
        <w:rPr>
          <w:rFonts w:hint="eastAsia"/>
        </w:rPr>
        <w:t>维护</w:t>
      </w:r>
      <w:r>
        <w:rPr>
          <w:rFonts w:hint="eastAsia"/>
          <w:lang w:val="en-US" w:eastAsia="zh-CN"/>
        </w:rPr>
        <w:t>要求</w:t>
      </w:r>
    </w:p>
    <w:p>
      <w:pPr>
        <w:bidi w:val="0"/>
        <w:rPr>
          <w:rFonts w:hint="eastAsia"/>
        </w:rPr>
      </w:pPr>
      <w:r>
        <w:rPr>
          <w:rFonts w:hint="eastAsia"/>
        </w:rPr>
        <w:t>污染源在线监控系统由采样单元、在线监测单元、数据采集传输单元、预处理单元、监测站房单元、视频门禁系统等组成。具体维护内容要求如下：</w:t>
      </w:r>
    </w:p>
    <w:p>
      <w:pPr>
        <w:bidi w:val="0"/>
        <w:rPr>
          <w:rFonts w:hint="eastAsia"/>
        </w:rPr>
      </w:pPr>
      <w:r>
        <w:rPr>
          <w:rFonts w:hint="eastAsia"/>
        </w:rPr>
        <w:t>采样单元：针对水泵、管路、预处理等设施进行清洗、保养、维修更换等工作，保证管路畅通，防止管路的堵塞和泄漏；</w:t>
      </w:r>
    </w:p>
    <w:p>
      <w:pPr>
        <w:bidi w:val="0"/>
        <w:rPr>
          <w:rFonts w:hint="eastAsia"/>
        </w:rPr>
      </w:pPr>
      <w:r>
        <w:rPr>
          <w:rFonts w:hint="eastAsia"/>
        </w:rPr>
        <w:t>监测单元：主要针对流量计、pH 计、COD 水质自动分析仪、氨氮水质自动分析仪、总余氯分析仪，在满足国家环保部和省生态环境厅的各类技术规范要求的基础上，进行设备的日常维护、保养、校验、维修等工作；</w:t>
      </w:r>
    </w:p>
    <w:p>
      <w:pPr>
        <w:bidi w:val="0"/>
        <w:rPr>
          <w:rFonts w:hint="eastAsia"/>
        </w:rPr>
      </w:pPr>
      <w:r>
        <w:rPr>
          <w:rFonts w:hint="eastAsia"/>
        </w:rPr>
        <w:t>数据采集单元：检查从一次仪表和数据采集设备上所采集到的监测数据是否一致，从一次仪表到各级环保部门监控平台的监测数据保证同步传输，保证数据采集设备的正常运行；</w:t>
      </w:r>
    </w:p>
    <w:p>
      <w:pPr>
        <w:bidi w:val="0"/>
        <w:rPr>
          <w:rFonts w:hint="eastAsia"/>
        </w:rPr>
      </w:pPr>
      <w:r>
        <w:rPr>
          <w:rFonts w:hint="eastAsia"/>
        </w:rPr>
        <w:t>预处理单元：废水分瓶采样器与在线监控系统的报警功能联动，对分瓶采样器作日常的保养、维护工作，确保设备正常运行；</w:t>
      </w:r>
    </w:p>
    <w:p>
      <w:pPr>
        <w:bidi w:val="0"/>
        <w:rPr>
          <w:rFonts w:hint="eastAsia"/>
        </w:rPr>
      </w:pPr>
      <w:r>
        <w:rPr>
          <w:rFonts w:hint="eastAsia"/>
        </w:rPr>
        <w:t>监测站房单元：保持监测站房的清洁，检查站房内的温度、湿度、电力设施达到监测设备的运行要求；</w:t>
      </w:r>
    </w:p>
    <w:p>
      <w:pPr>
        <w:bidi w:val="0"/>
        <w:rPr>
          <w:rFonts w:hint="eastAsia"/>
        </w:rPr>
      </w:pPr>
      <w:r>
        <w:rPr>
          <w:rFonts w:hint="eastAsia"/>
        </w:rPr>
        <w:t>仪器校准：COD/氨氮等主分析仪，每 48 小时通过仪器进行自动的零点和量程校正；</w:t>
      </w:r>
    </w:p>
    <w:p>
      <w:pPr>
        <w:bidi w:val="0"/>
        <w:rPr>
          <w:rFonts w:hint="eastAsia"/>
        </w:rPr>
      </w:pPr>
      <w:r>
        <w:rPr>
          <w:rFonts w:hint="eastAsia"/>
        </w:rPr>
        <w:t>按照危险废物处置的相关规定，妥善收集并处置仪器废液。</w:t>
      </w:r>
    </w:p>
    <w:p>
      <w:pPr>
        <w:bidi w:val="0"/>
        <w:rPr>
          <w:rFonts w:hint="eastAsia"/>
        </w:rPr>
      </w:pPr>
      <w:r>
        <w:rPr>
          <w:rFonts w:hint="eastAsia"/>
        </w:rPr>
        <w:t>在线监测站应建立专人负责制，制定操作及维修规程和日常保养制度，建立日常运行及记录和设备台账，建立相应的质量保证体系，并接受环境保护部门的台账检查。</w:t>
      </w:r>
    </w:p>
    <w:p>
      <w:pPr>
        <w:bidi w:val="0"/>
        <w:rPr>
          <w:rFonts w:hint="eastAsia"/>
        </w:rPr>
      </w:pPr>
      <w:r>
        <w:rPr>
          <w:rFonts w:hint="eastAsia"/>
          <w:lang w:val="en-US" w:eastAsia="zh-CN"/>
        </w:rPr>
        <w:t>2.3.2</w:t>
      </w:r>
      <w:r>
        <w:rPr>
          <w:rFonts w:hint="eastAsia"/>
        </w:rPr>
        <w:t>检测校验</w:t>
      </w:r>
    </w:p>
    <w:p>
      <w:pPr>
        <w:bidi w:val="0"/>
        <w:rPr>
          <w:rFonts w:hint="eastAsia"/>
        </w:rPr>
      </w:pPr>
      <w:r>
        <w:rPr>
          <w:rFonts w:hint="eastAsia"/>
        </w:rPr>
        <w:t>比对检测：每月由检测公司对在线监测系统相关设备进行检测，并生成出具比对报告，设备联网后由运维公司负责将比对数据录入到省环境平台上。</w:t>
      </w:r>
    </w:p>
    <w:p>
      <w:pPr>
        <w:bidi w:val="0"/>
        <w:rPr>
          <w:rFonts w:hint="eastAsia"/>
        </w:rPr>
      </w:pPr>
      <w:r>
        <w:rPr>
          <w:rFonts w:hint="eastAsia"/>
        </w:rPr>
        <w:t>计量检测：每年由第三方计量检测单位进行检测。</w:t>
      </w:r>
    </w:p>
    <w:p>
      <w:pPr>
        <w:bidi w:val="0"/>
        <w:rPr>
          <w:rFonts w:hint="eastAsia"/>
        </w:rPr>
      </w:pPr>
      <w:r>
        <w:rPr>
          <w:rFonts w:hint="eastAsia"/>
        </w:rPr>
        <w:t>质控校验：每周采用国家认可的质控样（或按规定方法配置的标准溶液）对自动分析仪进行一次标样溶液核查，质控样（或标准溶液）测定的相对误差应不大于标准的±10%，测定结果需录入到省平台上。</w:t>
      </w:r>
    </w:p>
    <w:p>
      <w:pPr>
        <w:bidi w:val="0"/>
        <w:rPr>
          <w:rFonts w:hint="eastAsia"/>
        </w:rPr>
      </w:pPr>
      <w:r>
        <w:rPr>
          <w:rFonts w:hint="eastAsia"/>
          <w:lang w:val="en-US" w:eastAsia="zh-CN"/>
        </w:rPr>
        <w:t>2.3.3</w:t>
      </w:r>
      <w:r>
        <w:rPr>
          <w:rFonts w:hint="eastAsia"/>
        </w:rPr>
        <w:t>监测仪器运维</w:t>
      </w:r>
      <w:r>
        <w:rPr>
          <w:rFonts w:hint="eastAsia"/>
          <w:lang w:val="en-US" w:eastAsia="zh-CN"/>
        </w:rPr>
        <w:t>频次及内容</w:t>
      </w:r>
      <w:r>
        <w:rPr>
          <w:rFonts w:hint="eastAsia"/>
        </w:rPr>
        <w:t>说明</w:t>
      </w:r>
    </w:p>
    <w:tbl>
      <w:tblPr>
        <w:tblStyle w:val="5"/>
        <w:tblW w:w="951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6"/>
        <w:gridCol w:w="1964"/>
        <w:gridCol w:w="1784"/>
        <w:gridCol w:w="5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8" w:hRule="atLeast"/>
        </w:trPr>
        <w:tc>
          <w:tcPr>
            <w:tcW w:w="736" w:type="dxa"/>
            <w:noWrap w:val="0"/>
            <w:vAlign w:val="top"/>
          </w:tcPr>
          <w:p>
            <w:pPr>
              <w:bidi w:val="0"/>
              <w:ind w:left="0" w:leftChars="0" w:firstLine="0" w:firstLineChars="0"/>
              <w:jc w:val="both"/>
              <w:rPr>
                <w:rFonts w:hint="eastAsia"/>
              </w:rPr>
            </w:pPr>
            <w:r>
              <w:rPr>
                <w:rFonts w:hint="eastAsia"/>
              </w:rPr>
              <w:t>序号</w:t>
            </w:r>
          </w:p>
        </w:tc>
        <w:tc>
          <w:tcPr>
            <w:tcW w:w="1964" w:type="dxa"/>
            <w:noWrap w:val="0"/>
            <w:vAlign w:val="top"/>
          </w:tcPr>
          <w:p>
            <w:pPr>
              <w:bidi w:val="0"/>
              <w:ind w:left="0" w:leftChars="0" w:firstLine="0" w:firstLineChars="0"/>
              <w:jc w:val="both"/>
              <w:rPr>
                <w:rFonts w:hint="eastAsia"/>
              </w:rPr>
            </w:pPr>
            <w:r>
              <w:rPr>
                <w:rFonts w:hint="eastAsia"/>
              </w:rPr>
              <w:t>运维项目</w:t>
            </w:r>
          </w:p>
        </w:tc>
        <w:tc>
          <w:tcPr>
            <w:tcW w:w="1784" w:type="dxa"/>
            <w:noWrap w:val="0"/>
            <w:vAlign w:val="top"/>
          </w:tcPr>
          <w:p>
            <w:pPr>
              <w:bidi w:val="0"/>
              <w:ind w:left="0" w:leftChars="0" w:firstLine="0" w:firstLineChars="0"/>
              <w:jc w:val="both"/>
              <w:rPr>
                <w:rFonts w:hint="eastAsia"/>
              </w:rPr>
            </w:pPr>
            <w:r>
              <w:rPr>
                <w:rFonts w:hint="eastAsia"/>
              </w:rPr>
              <w:t>运维频次要求</w:t>
            </w:r>
          </w:p>
        </w:tc>
        <w:tc>
          <w:tcPr>
            <w:tcW w:w="5032" w:type="dxa"/>
            <w:noWrap w:val="0"/>
            <w:vAlign w:val="top"/>
          </w:tcPr>
          <w:p>
            <w:pPr>
              <w:bidi w:val="0"/>
              <w:ind w:left="0" w:leftChars="0" w:firstLine="0" w:firstLineChars="0"/>
              <w:jc w:val="both"/>
              <w:rPr>
                <w:rFonts w:hint="eastAsia"/>
              </w:rPr>
            </w:pPr>
            <w:r>
              <w:rPr>
                <w:rFonts w:hint="eastAsia"/>
              </w:rPr>
              <w:t>内容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736" w:type="dxa"/>
            <w:noWrap w:val="0"/>
            <w:vAlign w:val="top"/>
          </w:tcPr>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r>
              <w:rPr>
                <w:rFonts w:hint="eastAsia"/>
              </w:rPr>
              <w:t>1</w:t>
            </w:r>
          </w:p>
        </w:tc>
        <w:tc>
          <w:tcPr>
            <w:tcW w:w="1964" w:type="dxa"/>
            <w:noWrap w:val="0"/>
            <w:vAlign w:val="top"/>
          </w:tcPr>
          <w:p>
            <w:pPr>
              <w:bidi w:val="0"/>
              <w:jc w:val="both"/>
              <w:rPr>
                <w:rFonts w:hint="eastAsia"/>
              </w:rPr>
            </w:pPr>
          </w:p>
          <w:p>
            <w:pPr>
              <w:bidi w:val="0"/>
              <w:jc w:val="both"/>
              <w:rPr>
                <w:rFonts w:hint="eastAsia"/>
              </w:rPr>
            </w:pPr>
          </w:p>
          <w:p>
            <w:pPr>
              <w:bidi w:val="0"/>
              <w:jc w:val="both"/>
              <w:rPr>
                <w:rFonts w:hint="eastAsia"/>
              </w:rPr>
            </w:pPr>
          </w:p>
          <w:p>
            <w:pPr>
              <w:bidi w:val="0"/>
              <w:ind w:left="0" w:leftChars="0" w:firstLine="0" w:firstLineChars="0"/>
              <w:jc w:val="both"/>
              <w:rPr>
                <w:rFonts w:hint="eastAsia"/>
              </w:rPr>
            </w:pPr>
            <w:r>
              <w:rPr>
                <w:rFonts w:hint="eastAsia"/>
              </w:rPr>
              <w:t>COD 分析仪维护</w:t>
            </w:r>
          </w:p>
        </w:tc>
        <w:tc>
          <w:tcPr>
            <w:tcW w:w="1784" w:type="dxa"/>
            <w:noWrap w:val="0"/>
            <w:vAlign w:val="top"/>
          </w:tcPr>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r>
              <w:rPr>
                <w:rFonts w:hint="eastAsia"/>
              </w:rPr>
              <w:t>1 次/周</w:t>
            </w:r>
          </w:p>
        </w:tc>
        <w:tc>
          <w:tcPr>
            <w:tcW w:w="5032" w:type="dxa"/>
            <w:noWrap w:val="0"/>
            <w:vAlign w:val="top"/>
          </w:tcPr>
          <w:p>
            <w:pPr>
              <w:bidi w:val="0"/>
              <w:jc w:val="both"/>
              <w:rPr>
                <w:rFonts w:hint="eastAsia"/>
              </w:rPr>
            </w:pPr>
            <w:r>
              <w:rPr>
                <w:rFonts w:hint="eastAsia"/>
              </w:rPr>
              <w:t>检查数据传输和报警模块是否正常。</w:t>
            </w:r>
          </w:p>
          <w:p>
            <w:pPr>
              <w:bidi w:val="0"/>
              <w:jc w:val="both"/>
              <w:rPr>
                <w:rFonts w:hint="eastAsia"/>
              </w:rPr>
            </w:pPr>
            <w:r>
              <w:rPr>
                <w:rFonts w:hint="eastAsia"/>
              </w:rPr>
              <w:t>更换试剂。</w:t>
            </w:r>
          </w:p>
          <w:p>
            <w:pPr>
              <w:bidi w:val="0"/>
              <w:jc w:val="both"/>
              <w:rPr>
                <w:rFonts w:hint="eastAsia"/>
              </w:rPr>
            </w:pPr>
            <w:r>
              <w:rPr>
                <w:rFonts w:hint="eastAsia"/>
              </w:rPr>
              <w:t>确保各试剂供应正常。</w:t>
            </w:r>
          </w:p>
          <w:p>
            <w:pPr>
              <w:bidi w:val="0"/>
              <w:jc w:val="both"/>
              <w:rPr>
                <w:rFonts w:hint="eastAsia"/>
              </w:rPr>
            </w:pPr>
            <w:r>
              <w:rPr>
                <w:rFonts w:hint="eastAsia"/>
              </w:rPr>
              <w:t>清除定量管内水垢，疏通进水管及排液管。</w:t>
            </w:r>
          </w:p>
          <w:p>
            <w:pPr>
              <w:bidi w:val="0"/>
              <w:jc w:val="both"/>
              <w:rPr>
                <w:rFonts w:hint="eastAsia"/>
              </w:rPr>
            </w:pPr>
            <w:r>
              <w:rPr>
                <w:rFonts w:hint="eastAsia"/>
              </w:rPr>
              <w:t>确保各个阀门正常。</w:t>
            </w:r>
          </w:p>
          <w:p>
            <w:pPr>
              <w:bidi w:val="0"/>
              <w:jc w:val="both"/>
              <w:rPr>
                <w:rFonts w:hint="eastAsia"/>
              </w:rPr>
            </w:pPr>
            <w:r>
              <w:rPr>
                <w:rFonts w:hint="eastAsia"/>
              </w:rPr>
              <w:t>定期更换输送全套软管。</w:t>
            </w:r>
          </w:p>
          <w:p>
            <w:pPr>
              <w:bidi w:val="0"/>
              <w:jc w:val="both"/>
              <w:rPr>
                <w:rFonts w:hint="eastAsia"/>
              </w:rPr>
            </w:pPr>
            <w:r>
              <w:rPr>
                <w:rFonts w:hint="eastAsia"/>
              </w:rPr>
              <w:t>定期更换注射器。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80" w:hRule="atLeast"/>
        </w:trPr>
        <w:tc>
          <w:tcPr>
            <w:tcW w:w="736" w:type="dxa"/>
            <w:noWrap w:val="0"/>
            <w:vAlign w:val="top"/>
          </w:tcPr>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r>
              <w:rPr>
                <w:rFonts w:hint="eastAsia"/>
              </w:rPr>
              <w:t>2</w:t>
            </w:r>
          </w:p>
        </w:tc>
        <w:tc>
          <w:tcPr>
            <w:tcW w:w="1964" w:type="dxa"/>
            <w:noWrap w:val="0"/>
            <w:vAlign w:val="top"/>
          </w:tcPr>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p>
          <w:p>
            <w:pPr>
              <w:bidi w:val="0"/>
              <w:ind w:left="0" w:leftChars="0" w:firstLine="0" w:firstLineChars="0"/>
              <w:jc w:val="both"/>
              <w:rPr>
                <w:rFonts w:hint="eastAsia"/>
              </w:rPr>
            </w:pPr>
            <w:r>
              <w:rPr>
                <w:rFonts w:hint="eastAsia"/>
              </w:rPr>
              <w:t>氨氮分析仪维护</w:t>
            </w:r>
          </w:p>
        </w:tc>
        <w:tc>
          <w:tcPr>
            <w:tcW w:w="1784" w:type="dxa"/>
            <w:noWrap w:val="0"/>
            <w:vAlign w:val="top"/>
          </w:tcPr>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p>
          <w:p>
            <w:pPr>
              <w:bidi w:val="0"/>
              <w:jc w:val="both"/>
              <w:rPr>
                <w:rFonts w:hint="eastAsia"/>
              </w:rPr>
            </w:pPr>
            <w:r>
              <w:rPr>
                <w:rFonts w:hint="eastAsia"/>
              </w:rPr>
              <w:t>1 次/周</w:t>
            </w:r>
          </w:p>
        </w:tc>
        <w:tc>
          <w:tcPr>
            <w:tcW w:w="5032" w:type="dxa"/>
            <w:noWrap w:val="0"/>
            <w:vAlign w:val="top"/>
          </w:tcPr>
          <w:p>
            <w:pPr>
              <w:bidi w:val="0"/>
              <w:jc w:val="both"/>
              <w:rPr>
                <w:rFonts w:hint="eastAsia"/>
              </w:rPr>
            </w:pPr>
            <w:r>
              <w:rPr>
                <w:rFonts w:hint="eastAsia"/>
              </w:rPr>
              <w:t>检查氨氮分析仪加热模块是否正常。</w:t>
            </w:r>
          </w:p>
          <w:p>
            <w:pPr>
              <w:bidi w:val="0"/>
              <w:jc w:val="both"/>
              <w:rPr>
                <w:rFonts w:hint="eastAsia"/>
              </w:rPr>
            </w:pPr>
            <w:r>
              <w:rPr>
                <w:rFonts w:hint="eastAsia"/>
              </w:rPr>
              <w:t>检查试剂。</w:t>
            </w:r>
          </w:p>
          <w:p>
            <w:pPr>
              <w:bidi w:val="0"/>
              <w:jc w:val="both"/>
              <w:rPr>
                <w:rFonts w:hint="eastAsia"/>
              </w:rPr>
            </w:pPr>
            <w:r>
              <w:rPr>
                <w:rFonts w:hint="eastAsia"/>
              </w:rPr>
              <w:t>定期更换氨氮管路系统。</w:t>
            </w:r>
          </w:p>
          <w:p>
            <w:pPr>
              <w:bidi w:val="0"/>
              <w:jc w:val="both"/>
              <w:rPr>
                <w:rFonts w:hint="eastAsia"/>
              </w:rPr>
            </w:pPr>
            <w:r>
              <w:rPr>
                <w:rFonts w:hint="eastAsia"/>
              </w:rPr>
              <w:t>检查氨氮蠕动泵管，每个月对蠕动泵管进行一次换位操作。</w:t>
            </w:r>
          </w:p>
          <w:p>
            <w:pPr>
              <w:bidi w:val="0"/>
              <w:jc w:val="both"/>
              <w:rPr>
                <w:rFonts w:hint="eastAsia"/>
              </w:rPr>
            </w:pPr>
            <w:r>
              <w:rPr>
                <w:rFonts w:hint="eastAsia"/>
              </w:rPr>
              <w:t>定期更换加热迂回管路。</w:t>
            </w:r>
          </w:p>
          <w:p>
            <w:pPr>
              <w:bidi w:val="0"/>
              <w:jc w:val="both"/>
              <w:rPr>
                <w:rFonts w:hint="eastAsia"/>
              </w:rPr>
            </w:pPr>
            <w:r>
              <w:rPr>
                <w:rFonts w:hint="eastAsia"/>
              </w:rPr>
              <w:t>检查漏气。</w:t>
            </w:r>
          </w:p>
          <w:p>
            <w:pPr>
              <w:bidi w:val="0"/>
              <w:jc w:val="both"/>
              <w:rPr>
                <w:rFonts w:hint="eastAsia"/>
              </w:rPr>
            </w:pPr>
            <w:r>
              <w:rPr>
                <w:rFonts w:hint="eastAsia"/>
              </w:rPr>
              <w:t>定期更换蠕动泵管（半年/次）。</w:t>
            </w:r>
          </w:p>
          <w:p>
            <w:pPr>
              <w:bidi w:val="0"/>
              <w:jc w:val="both"/>
              <w:rPr>
                <w:rFonts w:hint="eastAsia"/>
              </w:rPr>
            </w:pPr>
            <w:r>
              <w:rPr>
                <w:rFonts w:hint="eastAsia"/>
              </w:rPr>
              <w:t>清洗管路。</w:t>
            </w:r>
          </w:p>
          <w:p>
            <w:pPr>
              <w:bidi w:val="0"/>
              <w:jc w:val="both"/>
              <w:rPr>
                <w:rFonts w:hint="eastAsia"/>
              </w:rPr>
            </w:pPr>
            <w:r>
              <w:rPr>
                <w:rFonts w:hint="eastAsia"/>
              </w:rPr>
              <w:t>进样杯清洗。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00" w:hRule="atLeast"/>
        </w:trPr>
        <w:tc>
          <w:tcPr>
            <w:tcW w:w="736" w:type="dxa"/>
            <w:noWrap w:val="0"/>
            <w:vAlign w:val="top"/>
          </w:tcPr>
          <w:p>
            <w:pPr>
              <w:bidi w:val="0"/>
              <w:jc w:val="both"/>
              <w:rPr>
                <w:rFonts w:hint="eastAsia"/>
              </w:rPr>
            </w:pPr>
          </w:p>
          <w:p>
            <w:pPr>
              <w:bidi w:val="0"/>
              <w:jc w:val="both"/>
              <w:rPr>
                <w:rFonts w:hint="eastAsia"/>
              </w:rPr>
            </w:pPr>
            <w:r>
              <w:rPr>
                <w:rFonts w:hint="eastAsia"/>
              </w:rPr>
              <w:t>3</w:t>
            </w:r>
          </w:p>
        </w:tc>
        <w:tc>
          <w:tcPr>
            <w:tcW w:w="1964" w:type="dxa"/>
            <w:noWrap w:val="0"/>
            <w:vAlign w:val="top"/>
          </w:tcPr>
          <w:p>
            <w:pPr>
              <w:bidi w:val="0"/>
              <w:jc w:val="both"/>
              <w:rPr>
                <w:rFonts w:hint="eastAsia"/>
              </w:rPr>
            </w:pPr>
          </w:p>
          <w:p>
            <w:pPr>
              <w:bidi w:val="0"/>
              <w:ind w:left="0" w:leftChars="0" w:firstLine="0" w:firstLineChars="0"/>
              <w:jc w:val="both"/>
              <w:rPr>
                <w:rFonts w:hint="eastAsia"/>
              </w:rPr>
            </w:pPr>
            <w:r>
              <w:rPr>
                <w:rFonts w:hint="eastAsia"/>
              </w:rPr>
              <w:t>pH、总余氯分析仪</w:t>
            </w:r>
          </w:p>
        </w:tc>
        <w:tc>
          <w:tcPr>
            <w:tcW w:w="1784" w:type="dxa"/>
            <w:noWrap w:val="0"/>
            <w:vAlign w:val="top"/>
          </w:tcPr>
          <w:p>
            <w:pPr>
              <w:bidi w:val="0"/>
              <w:jc w:val="both"/>
              <w:rPr>
                <w:rFonts w:hint="eastAsia"/>
              </w:rPr>
            </w:pPr>
          </w:p>
          <w:p>
            <w:pPr>
              <w:bidi w:val="0"/>
              <w:jc w:val="both"/>
              <w:rPr>
                <w:rFonts w:hint="eastAsia"/>
              </w:rPr>
            </w:pPr>
            <w:r>
              <w:rPr>
                <w:rFonts w:hint="eastAsia"/>
              </w:rPr>
              <w:t>1 次/周</w:t>
            </w:r>
          </w:p>
        </w:tc>
        <w:tc>
          <w:tcPr>
            <w:tcW w:w="5032" w:type="dxa"/>
            <w:noWrap w:val="0"/>
            <w:vAlign w:val="top"/>
          </w:tcPr>
          <w:p>
            <w:pPr>
              <w:bidi w:val="0"/>
              <w:jc w:val="both"/>
              <w:rPr>
                <w:rFonts w:hint="eastAsia"/>
              </w:rPr>
            </w:pPr>
            <w:r>
              <w:rPr>
                <w:rFonts w:hint="eastAsia"/>
              </w:rPr>
              <w:t>检查数据传输和报警模块是否正常。</w:t>
            </w:r>
          </w:p>
          <w:p>
            <w:pPr>
              <w:bidi w:val="0"/>
              <w:jc w:val="both"/>
              <w:rPr>
                <w:rFonts w:hint="eastAsia"/>
              </w:rPr>
            </w:pPr>
            <w:r>
              <w:rPr>
                <w:rFonts w:hint="eastAsia"/>
              </w:rPr>
              <w:t>检查电极是否被泥沙和各类沾污。</w:t>
            </w:r>
          </w:p>
          <w:p>
            <w:pPr>
              <w:bidi w:val="0"/>
              <w:jc w:val="both"/>
              <w:rPr>
                <w:rFonts w:hint="eastAsia"/>
              </w:rPr>
            </w:pPr>
            <w:r>
              <w:rPr>
                <w:rFonts w:hint="eastAsia"/>
              </w:rPr>
              <w:t>清洗电极，校准仪表。</w:t>
            </w:r>
          </w:p>
          <w:p>
            <w:pPr>
              <w:bidi w:val="0"/>
              <w:jc w:val="both"/>
              <w:rPr>
                <w:rFonts w:hint="eastAsia"/>
              </w:rPr>
            </w:pPr>
            <w:r>
              <w:rPr>
                <w:rFonts w:hint="eastAsia"/>
              </w:rPr>
              <w:t>检查 pH 探头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00" w:hRule="atLeast"/>
        </w:trPr>
        <w:tc>
          <w:tcPr>
            <w:tcW w:w="736" w:type="dxa"/>
            <w:noWrap w:val="0"/>
            <w:vAlign w:val="top"/>
          </w:tcPr>
          <w:p>
            <w:pPr>
              <w:bidi w:val="0"/>
              <w:jc w:val="both"/>
              <w:rPr>
                <w:rFonts w:hint="eastAsia"/>
              </w:rPr>
            </w:pPr>
          </w:p>
          <w:p>
            <w:pPr>
              <w:bidi w:val="0"/>
              <w:jc w:val="both"/>
              <w:rPr>
                <w:rFonts w:hint="eastAsia"/>
              </w:rPr>
            </w:pPr>
            <w:r>
              <w:rPr>
                <w:rFonts w:hint="eastAsia"/>
              </w:rPr>
              <w:t>4</w:t>
            </w:r>
          </w:p>
        </w:tc>
        <w:tc>
          <w:tcPr>
            <w:tcW w:w="1964" w:type="dxa"/>
            <w:noWrap w:val="0"/>
            <w:vAlign w:val="top"/>
          </w:tcPr>
          <w:p>
            <w:pPr>
              <w:bidi w:val="0"/>
              <w:jc w:val="both"/>
              <w:rPr>
                <w:rFonts w:hint="eastAsia"/>
              </w:rPr>
            </w:pPr>
          </w:p>
          <w:p>
            <w:pPr>
              <w:bidi w:val="0"/>
              <w:jc w:val="both"/>
              <w:rPr>
                <w:rFonts w:hint="eastAsia"/>
              </w:rPr>
            </w:pPr>
            <w:r>
              <w:rPr>
                <w:rFonts w:hint="eastAsia"/>
              </w:rPr>
              <w:t>采样器维护</w:t>
            </w:r>
          </w:p>
        </w:tc>
        <w:tc>
          <w:tcPr>
            <w:tcW w:w="1784" w:type="dxa"/>
            <w:noWrap w:val="0"/>
            <w:vAlign w:val="top"/>
          </w:tcPr>
          <w:p>
            <w:pPr>
              <w:bidi w:val="0"/>
              <w:jc w:val="both"/>
              <w:rPr>
                <w:rFonts w:hint="eastAsia"/>
              </w:rPr>
            </w:pPr>
          </w:p>
          <w:p>
            <w:pPr>
              <w:bidi w:val="0"/>
              <w:jc w:val="both"/>
              <w:rPr>
                <w:rFonts w:hint="eastAsia"/>
              </w:rPr>
            </w:pPr>
            <w:r>
              <w:rPr>
                <w:rFonts w:hint="eastAsia"/>
              </w:rPr>
              <w:t>1 次/周</w:t>
            </w:r>
          </w:p>
        </w:tc>
        <w:tc>
          <w:tcPr>
            <w:tcW w:w="5032" w:type="dxa"/>
            <w:noWrap w:val="0"/>
            <w:vAlign w:val="top"/>
          </w:tcPr>
          <w:p>
            <w:pPr>
              <w:bidi w:val="0"/>
              <w:jc w:val="both"/>
              <w:rPr>
                <w:rFonts w:hint="eastAsia"/>
              </w:rPr>
            </w:pPr>
            <w:r>
              <w:rPr>
                <w:rFonts w:hint="eastAsia"/>
              </w:rPr>
              <w:t>定期更换采样泵。</w:t>
            </w:r>
          </w:p>
          <w:p>
            <w:pPr>
              <w:bidi w:val="0"/>
              <w:jc w:val="both"/>
              <w:rPr>
                <w:rFonts w:hint="eastAsia"/>
              </w:rPr>
            </w:pPr>
            <w:r>
              <w:rPr>
                <w:rFonts w:hint="eastAsia"/>
              </w:rPr>
              <w:t>定期更换阀门。</w:t>
            </w:r>
          </w:p>
          <w:p>
            <w:pPr>
              <w:bidi w:val="0"/>
              <w:jc w:val="both"/>
              <w:rPr>
                <w:rFonts w:hint="eastAsia"/>
              </w:rPr>
            </w:pPr>
            <w:r>
              <w:rPr>
                <w:rFonts w:hint="eastAsia"/>
              </w:rPr>
              <w:t>定期更换过滤器</w:t>
            </w:r>
          </w:p>
          <w:p>
            <w:pPr>
              <w:bidi w:val="0"/>
              <w:jc w:val="both"/>
              <w:rPr>
                <w:rFonts w:hint="eastAsia"/>
              </w:rPr>
            </w:pPr>
            <w:r>
              <w:rPr>
                <w:rFonts w:hint="eastAsia"/>
              </w:rPr>
              <w:t>重新调整采样参数。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0" w:hRule="atLeast"/>
        </w:trPr>
        <w:tc>
          <w:tcPr>
            <w:tcW w:w="736" w:type="dxa"/>
            <w:noWrap w:val="0"/>
            <w:vAlign w:val="top"/>
          </w:tcPr>
          <w:p>
            <w:pPr>
              <w:bidi w:val="0"/>
              <w:jc w:val="both"/>
              <w:rPr>
                <w:rFonts w:hint="eastAsia"/>
              </w:rPr>
            </w:pPr>
          </w:p>
          <w:p>
            <w:pPr>
              <w:bidi w:val="0"/>
              <w:jc w:val="both"/>
              <w:rPr>
                <w:rFonts w:hint="eastAsia"/>
              </w:rPr>
            </w:pPr>
            <w:r>
              <w:rPr>
                <w:rFonts w:hint="eastAsia"/>
              </w:rPr>
              <w:t>5</w:t>
            </w:r>
          </w:p>
        </w:tc>
        <w:tc>
          <w:tcPr>
            <w:tcW w:w="1964" w:type="dxa"/>
            <w:noWrap w:val="0"/>
            <w:vAlign w:val="top"/>
          </w:tcPr>
          <w:p>
            <w:pPr>
              <w:bidi w:val="0"/>
              <w:ind w:left="0" w:leftChars="0" w:firstLine="0" w:firstLineChars="0"/>
              <w:jc w:val="both"/>
              <w:rPr>
                <w:rFonts w:hint="eastAsia"/>
              </w:rPr>
            </w:pPr>
            <w:r>
              <w:rPr>
                <w:rFonts w:hint="eastAsia"/>
              </w:rPr>
              <w:t>数据采集传输单元</w:t>
            </w:r>
          </w:p>
        </w:tc>
        <w:tc>
          <w:tcPr>
            <w:tcW w:w="1784" w:type="dxa"/>
            <w:noWrap w:val="0"/>
            <w:vAlign w:val="top"/>
          </w:tcPr>
          <w:p>
            <w:pPr>
              <w:bidi w:val="0"/>
              <w:jc w:val="both"/>
              <w:rPr>
                <w:rFonts w:hint="eastAsia"/>
              </w:rPr>
            </w:pPr>
          </w:p>
          <w:p>
            <w:pPr>
              <w:bidi w:val="0"/>
              <w:jc w:val="both"/>
              <w:rPr>
                <w:rFonts w:hint="eastAsia"/>
              </w:rPr>
            </w:pPr>
            <w:r>
              <w:rPr>
                <w:rFonts w:hint="eastAsia"/>
              </w:rPr>
              <w:t>1 次/周</w:t>
            </w:r>
          </w:p>
        </w:tc>
        <w:tc>
          <w:tcPr>
            <w:tcW w:w="5032" w:type="dxa"/>
            <w:noWrap w:val="0"/>
            <w:vAlign w:val="top"/>
          </w:tcPr>
          <w:p>
            <w:pPr>
              <w:bidi w:val="0"/>
              <w:jc w:val="both"/>
              <w:rPr>
                <w:rFonts w:hint="eastAsia"/>
              </w:rPr>
            </w:pPr>
            <w:r>
              <w:rPr>
                <w:rFonts w:hint="eastAsia"/>
              </w:rPr>
              <w:t>查询历史数据是否完整；</w:t>
            </w:r>
          </w:p>
          <w:p>
            <w:pPr>
              <w:bidi w:val="0"/>
              <w:jc w:val="both"/>
              <w:rPr>
                <w:rFonts w:hint="eastAsia"/>
              </w:rPr>
            </w:pPr>
            <w:r>
              <w:rPr>
                <w:rFonts w:hint="eastAsia"/>
              </w:rPr>
              <w:t>数据采集传输是否正常；</w:t>
            </w:r>
          </w:p>
          <w:p>
            <w:pPr>
              <w:bidi w:val="0"/>
              <w:jc w:val="both"/>
              <w:rPr>
                <w:rFonts w:hint="eastAsia"/>
              </w:rPr>
            </w:pPr>
            <w:r>
              <w:rPr>
                <w:rFonts w:hint="eastAsia"/>
              </w:rPr>
              <w:t>数据显示是否正常。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0" w:hRule="atLeast"/>
        </w:trPr>
        <w:tc>
          <w:tcPr>
            <w:tcW w:w="736" w:type="dxa"/>
            <w:noWrap w:val="0"/>
            <w:vAlign w:val="top"/>
          </w:tcPr>
          <w:p>
            <w:pPr>
              <w:bidi w:val="0"/>
              <w:jc w:val="both"/>
              <w:rPr>
                <w:rFonts w:hint="eastAsia"/>
              </w:rPr>
            </w:pPr>
            <w:r>
              <w:rPr>
                <w:rFonts w:hint="eastAsia"/>
              </w:rPr>
              <w:t>6</w:t>
            </w:r>
          </w:p>
        </w:tc>
        <w:tc>
          <w:tcPr>
            <w:tcW w:w="1964" w:type="dxa"/>
            <w:noWrap w:val="0"/>
            <w:vAlign w:val="top"/>
          </w:tcPr>
          <w:p>
            <w:pPr>
              <w:bidi w:val="0"/>
              <w:ind w:left="0" w:leftChars="0" w:firstLine="0" w:firstLineChars="0"/>
              <w:jc w:val="both"/>
              <w:rPr>
                <w:rFonts w:hint="eastAsia"/>
              </w:rPr>
            </w:pPr>
            <w:r>
              <w:rPr>
                <w:rFonts w:hint="eastAsia"/>
              </w:rPr>
              <w:t>视频门禁系统</w:t>
            </w:r>
          </w:p>
        </w:tc>
        <w:tc>
          <w:tcPr>
            <w:tcW w:w="1784" w:type="dxa"/>
            <w:noWrap w:val="0"/>
            <w:vAlign w:val="top"/>
          </w:tcPr>
          <w:p>
            <w:pPr>
              <w:bidi w:val="0"/>
              <w:jc w:val="both"/>
              <w:rPr>
                <w:rFonts w:hint="eastAsia"/>
              </w:rPr>
            </w:pPr>
            <w:r>
              <w:rPr>
                <w:rFonts w:hint="eastAsia"/>
              </w:rPr>
              <w:t>1 次/周</w:t>
            </w:r>
          </w:p>
        </w:tc>
        <w:tc>
          <w:tcPr>
            <w:tcW w:w="5032" w:type="dxa"/>
            <w:noWrap w:val="0"/>
            <w:vAlign w:val="top"/>
          </w:tcPr>
          <w:p>
            <w:pPr>
              <w:bidi w:val="0"/>
              <w:jc w:val="both"/>
              <w:rPr>
                <w:rFonts w:hint="eastAsia"/>
              </w:rPr>
            </w:pPr>
            <w:r>
              <w:rPr>
                <w:rFonts w:hint="eastAsia"/>
              </w:rPr>
              <w:t>定期检查视频及门禁</w:t>
            </w:r>
          </w:p>
          <w:p>
            <w:pPr>
              <w:bidi w:val="0"/>
              <w:jc w:val="both"/>
              <w:rPr>
                <w:rFonts w:hint="eastAsia"/>
              </w:rPr>
            </w:pPr>
            <w:r>
              <w:rPr>
                <w:rFonts w:hint="eastAsia"/>
              </w:rPr>
              <w:t>对于故障设备进行维修</w:t>
            </w:r>
          </w:p>
        </w:tc>
      </w:tr>
    </w:tbl>
    <w:p>
      <w:pPr>
        <w:bidi w:val="0"/>
        <w:rPr>
          <w:rFonts w:hint="eastAsia"/>
        </w:rPr>
      </w:pPr>
      <w:r>
        <w:rPr>
          <w:rFonts w:hint="eastAsia"/>
        </w:rPr>
        <w:t>注：</w:t>
      </w:r>
      <w:r>
        <w:rPr>
          <w:rFonts w:hint="eastAsia"/>
          <w:lang w:val="en-US" w:eastAsia="zh-CN"/>
        </w:rPr>
        <w:t>①</w:t>
      </w:r>
      <w:r>
        <w:rPr>
          <w:rFonts w:hint="eastAsia"/>
        </w:rPr>
        <w:t>定期更换部分需做好相关记录工作，现场运维情况需以书面方式做记录备查。</w:t>
      </w:r>
    </w:p>
    <w:p>
      <w:pPr>
        <w:bidi w:val="0"/>
        <w:rPr>
          <w:rFonts w:hint="eastAsia"/>
          <w:b/>
          <w:bCs/>
        </w:rPr>
      </w:pPr>
      <w:r>
        <w:rPr>
          <w:rFonts w:hint="eastAsia"/>
          <w:b/>
          <w:bCs/>
          <w:lang w:val="en-US" w:eastAsia="zh-CN"/>
        </w:rPr>
        <w:t>②</w:t>
      </w:r>
      <w:r>
        <w:rPr>
          <w:rFonts w:hint="eastAsia"/>
          <w:b/>
          <w:bCs/>
        </w:rPr>
        <w:t>维护保养所需人工费用、易损件更换费用、</w:t>
      </w:r>
      <w:r>
        <w:rPr>
          <w:rFonts w:hint="eastAsia"/>
          <w:b/>
          <w:bCs/>
          <w:lang w:val="en-US" w:eastAsia="zh-CN"/>
        </w:rPr>
        <w:t>自动监控系统所需</w:t>
      </w:r>
      <w:r>
        <w:rPr>
          <w:rFonts w:hint="eastAsia"/>
          <w:b/>
          <w:bCs/>
        </w:rPr>
        <w:t>试剂费用</w:t>
      </w:r>
      <w:r>
        <w:rPr>
          <w:rFonts w:hint="eastAsia"/>
          <w:b/>
          <w:bCs/>
          <w:lang w:eastAsia="zh-CN"/>
        </w:rPr>
        <w:t>、</w:t>
      </w:r>
      <w:r>
        <w:rPr>
          <w:rFonts w:hint="eastAsia"/>
          <w:b/>
          <w:bCs/>
          <w:lang w:val="en-US" w:eastAsia="zh-CN"/>
        </w:rPr>
        <w:t>废液处置费用、质控检验、计量检测</w:t>
      </w:r>
      <w:r>
        <w:rPr>
          <w:rFonts w:hint="eastAsia"/>
          <w:b/>
          <w:bCs/>
        </w:rPr>
        <w:t>等等</w:t>
      </w:r>
      <w:r>
        <w:rPr>
          <w:rFonts w:hint="eastAsia"/>
          <w:b/>
          <w:bCs/>
          <w:lang w:val="en-US" w:eastAsia="zh-CN"/>
        </w:rPr>
        <w:t>所有费用</w:t>
      </w:r>
      <w:r>
        <w:rPr>
          <w:rFonts w:hint="eastAsia"/>
          <w:b/>
          <w:bCs/>
        </w:rPr>
        <w:t>均包含于报价当中。</w:t>
      </w:r>
    </w:p>
    <w:p>
      <w:pPr>
        <w:bidi w:val="0"/>
        <w:rPr>
          <w:rFonts w:hint="eastAsia"/>
          <w:lang w:eastAsia="zh-CN"/>
        </w:rPr>
      </w:pPr>
      <w:r>
        <w:rPr>
          <w:rFonts w:hint="eastAsia"/>
          <w:lang w:val="en-US" w:eastAsia="zh-CN"/>
        </w:rPr>
        <w:t>③维保</w:t>
      </w:r>
      <w:r>
        <w:rPr>
          <w:rFonts w:hint="eastAsia"/>
        </w:rPr>
        <w:t>单位需</w:t>
      </w:r>
      <w:r>
        <w:rPr>
          <w:rFonts w:hint="eastAsia"/>
          <w:lang w:val="en-US" w:eastAsia="zh-CN"/>
        </w:rPr>
        <w:t>承担应对突发应急情况（台风、暴雨等恶劣环境）的水质检测及问题整改工作，以及环保局要求的整改工作，承担污水处理自动化监测系统的全部运维</w:t>
      </w:r>
      <w:r>
        <w:rPr>
          <w:rFonts w:hint="eastAsia"/>
        </w:rPr>
        <w:t>责任</w:t>
      </w:r>
      <w:r>
        <w:rPr>
          <w:rFonts w:hint="eastAsia"/>
          <w:lang w:eastAsia="zh-CN"/>
        </w:rPr>
        <w:t>，</w:t>
      </w:r>
      <w:r>
        <w:rPr>
          <w:rFonts w:hint="eastAsia"/>
        </w:rPr>
        <w:t>对自动监控系统</w:t>
      </w:r>
      <w:r>
        <w:rPr>
          <w:rFonts w:hint="eastAsia"/>
          <w:lang w:val="en-US" w:eastAsia="zh-CN"/>
        </w:rPr>
        <w:t>及水质排放要求</w:t>
      </w:r>
      <w:r>
        <w:rPr>
          <w:rFonts w:hint="eastAsia"/>
        </w:rPr>
        <w:t>全面负责</w:t>
      </w:r>
      <w:r>
        <w:rPr>
          <w:rFonts w:hint="eastAsia"/>
          <w:lang w:eastAsia="zh-CN"/>
        </w:rPr>
        <w:t>。</w:t>
      </w:r>
    </w:p>
    <w:p>
      <w:pPr>
        <w:bidi w:val="0"/>
      </w:pPr>
      <w:r>
        <w:rPr>
          <w:rFonts w:hint="eastAsia"/>
          <w:lang w:val="en-US" w:eastAsia="zh-CN"/>
        </w:rPr>
        <w:t>④维保单位需</w:t>
      </w:r>
      <w:r>
        <w:rPr>
          <w:rFonts w:hint="eastAsia"/>
        </w:rPr>
        <w:t>提供长期稳定的售后服务人员名单及联系方式，且在重要节假日（春节、国庆等）配备应急维保人员名单及联系方式，以便处理突发应急情况。</w:t>
      </w:r>
    </w:p>
    <w:p>
      <w:pPr>
        <w:bidi w:val="0"/>
        <w:ind w:left="0" w:leftChars="0" w:firstLine="480" w:firstLineChars="200"/>
        <w:rPr>
          <w:rFonts w:hint="eastAsia"/>
          <w:lang w:val="en-US" w:eastAsia="zh-CN"/>
        </w:rPr>
      </w:pPr>
      <w:r>
        <w:rPr>
          <w:rFonts w:hint="eastAsia"/>
          <w:lang w:val="en-US" w:eastAsia="zh-CN"/>
        </w:rPr>
        <w:t>⑤维保单位所有维保内容确保符合《污染源自动监控管理办法》、《污染源自动监控设施运行管理办法》等文件规范以及</w:t>
      </w:r>
      <w:bookmarkStart w:id="13" w:name="_GoBack"/>
      <w:bookmarkEnd w:id="13"/>
      <w:r>
        <w:rPr>
          <w:rFonts w:hint="eastAsia"/>
          <w:lang w:val="en-US" w:eastAsia="zh-CN"/>
        </w:rPr>
        <w:t>环保局相关规定要求。</w:t>
      </w:r>
    </w:p>
    <w:p>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中文正文">
    <w:altName w:val="AMGDT"/>
    <w:panose1 w:val="00000000000000000000"/>
    <w:charset w:val="00"/>
    <w:family w:val="auto"/>
    <w:pitch w:val="default"/>
    <w:sig w:usb0="00000000" w:usb1="00000000" w:usb2="00000000" w:usb3="00000000" w:csb0="00000000" w:csb1="00000000"/>
  </w:font>
  <w:font w:name="+西文正文">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ZWVhNTVlMWMzYTZkOGJiZjA3OTc3NDA1MjkzZmEifQ=="/>
  </w:docVars>
  <w:rsids>
    <w:rsidRoot w:val="29542830"/>
    <w:rsid w:val="09981163"/>
    <w:rsid w:val="29542830"/>
    <w:rsid w:val="61B05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2" w:firstLineChars="200"/>
      <w:jc w:val="both"/>
    </w:pPr>
    <w:rPr>
      <w:rFonts w:ascii="Times New Roman" w:hAnsi="Times New Roman" w:eastAsia="仿宋" w:cstheme="minorBidi"/>
      <w:kern w:val="2"/>
      <w:sz w:val="24"/>
      <w:szCs w:val="24"/>
      <w:lang w:val="en-US" w:eastAsia="zh-CN" w:bidi="ar-SA"/>
    </w:rPr>
  </w:style>
  <w:style w:type="paragraph" w:styleId="4">
    <w:name w:val="heading 2"/>
    <w:basedOn w:val="1"/>
    <w:next w:val="1"/>
    <w:qFormat/>
    <w:uiPriority w:val="99"/>
    <w:pPr>
      <w:keepNext/>
      <w:keepLines/>
      <w:spacing w:line="360" w:lineRule="auto"/>
      <w:outlineLvl w:val="1"/>
    </w:pPr>
    <w:rPr>
      <w:rFonts w:ascii="仿宋_GB2312" w:eastAsia="仿宋_GB2312"/>
      <w:b/>
      <w:sz w:val="24"/>
      <w:lang w:val="zh-CN"/>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qFormat/>
    <w:uiPriority w:val="0"/>
    <w:pPr>
      <w:spacing w:before="50" w:beforeLines="50" w:after="50" w:afterLines="50"/>
      <w:ind w:firstLine="643" w:firstLineChars="200"/>
      <w:jc w:val="left"/>
    </w:pPr>
    <w:rPr>
      <w:rFonts w:ascii="Times New Roman" w:hAnsi="Times New Roman" w:eastAsia="宋体"/>
      <w:sz w:val="2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99"/>
    <w:pPr>
      <w:autoSpaceDE w:val="0"/>
      <w:autoSpaceDN w:val="0"/>
      <w:jc w:val="left"/>
    </w:pPr>
    <w:rPr>
      <w:rFonts w:ascii="宋体" w:hAnsi="宋体" w:cs="宋体"/>
      <w:kern w:val="0"/>
      <w:sz w:val="22"/>
      <w:szCs w:val="22"/>
      <w:lang w:eastAsia="en-US"/>
    </w:rPr>
  </w:style>
  <w:style w:type="paragraph" w:customStyle="1" w:styleId="9">
    <w:name w:val="正文段"/>
    <w:basedOn w:val="1"/>
    <w:qFormat/>
    <w:uiPriority w:val="99"/>
    <w:pPr>
      <w:widowControl/>
      <w:snapToGrid w:val="0"/>
      <w:spacing w:afterLines="50"/>
      <w:ind w:firstLine="200" w:firstLineChars="200"/>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4512</Words>
  <Characters>4632</Characters>
  <Lines>0</Lines>
  <Paragraphs>0</Paragraphs>
  <TotalTime>18</TotalTime>
  <ScaleCrop>false</ScaleCrop>
  <LinksUpToDate>false</LinksUpToDate>
  <CharactersWithSpaces>4670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2022-12-12T08:24:00Z</dcterms:created>
  <dc:creator>南汝晨</dc:creator>
  <cp:lastModifiedBy>南汝晨</cp:lastModifiedBy>
  <dcterms:modified xsi:type="dcterms:W3CDTF">2022-12-12T09:11:35Z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514762B273084C1BB0E88D5C439842B2</vt:lpwstr>
  </property>
</Properties>
</file>