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center"/>
        <w:rPr>
          <w:rFonts w:hint="default" w:ascii="楷体" w:hAnsi="楷体" w:eastAsia="楷体" w:cs="楷体"/>
          <w:b/>
          <w:sz w:val="28"/>
          <w:szCs w:val="28"/>
          <w:lang w:val="en-US" w:eastAsia="zh-CN"/>
        </w:rPr>
      </w:pPr>
      <w:r>
        <w:rPr>
          <w:rFonts w:hint="eastAsia" w:ascii="楷体" w:hAnsi="楷体" w:eastAsia="楷体" w:cs="楷体"/>
          <w:b/>
          <w:sz w:val="28"/>
          <w:szCs w:val="28"/>
          <w:lang w:val="en-US" w:eastAsia="zh-CN"/>
        </w:rPr>
        <w:t>浙江医院两院区污水处理站试剂采购及维保项目</w:t>
      </w:r>
    </w:p>
    <w:p>
      <w:pPr>
        <w:autoSpaceDE w:val="0"/>
        <w:autoSpaceDN w:val="0"/>
        <w:adjustRightInd w:val="0"/>
        <w:spacing w:line="360" w:lineRule="auto"/>
        <w:rPr>
          <w:rFonts w:hint="eastAsia" w:ascii="楷体" w:hAnsi="楷体" w:eastAsia="楷体" w:cs="楷体"/>
          <w:b/>
          <w:sz w:val="21"/>
          <w:szCs w:val="21"/>
        </w:rPr>
      </w:pPr>
      <w:r>
        <w:rPr>
          <w:rFonts w:hint="eastAsia" w:ascii="楷体" w:hAnsi="楷体" w:eastAsia="楷体" w:cs="楷体"/>
          <w:b/>
          <w:sz w:val="21"/>
          <w:szCs w:val="21"/>
          <w:lang w:val="en-US" w:eastAsia="zh-CN"/>
        </w:rPr>
        <w:t>1.</w:t>
      </w:r>
      <w:r>
        <w:rPr>
          <w:rFonts w:hint="eastAsia" w:ascii="楷体" w:hAnsi="楷体" w:eastAsia="楷体" w:cs="楷体"/>
          <w:b/>
          <w:sz w:val="21"/>
          <w:szCs w:val="21"/>
        </w:rPr>
        <w:t>采购清单：</w:t>
      </w:r>
    </w:p>
    <w:tbl>
      <w:tblPr>
        <w:tblStyle w:val="24"/>
        <w:tblW w:w="5000" w:type="pct"/>
        <w:tblInd w:w="0" w:type="dxa"/>
        <w:tblLayout w:type="autofit"/>
        <w:tblCellMar>
          <w:top w:w="0" w:type="dxa"/>
          <w:left w:w="108" w:type="dxa"/>
          <w:bottom w:w="0" w:type="dxa"/>
          <w:right w:w="108" w:type="dxa"/>
        </w:tblCellMar>
      </w:tblPr>
      <w:tblGrid>
        <w:gridCol w:w="771"/>
        <w:gridCol w:w="5084"/>
        <w:gridCol w:w="1737"/>
        <w:gridCol w:w="1809"/>
      </w:tblGrid>
      <w:tr>
        <w:tblPrEx>
          <w:tblCellMar>
            <w:top w:w="0" w:type="dxa"/>
            <w:left w:w="108" w:type="dxa"/>
            <w:bottom w:w="0" w:type="dxa"/>
            <w:right w:w="108" w:type="dxa"/>
          </w:tblCellMar>
        </w:tblPrEx>
        <w:trPr>
          <w:trHeight w:val="493" w:hRule="atLeast"/>
        </w:trPr>
        <w:tc>
          <w:tcPr>
            <w:tcW w:w="410" w:type="pct"/>
            <w:tcBorders>
              <w:top w:val="single" w:color="auto" w:sz="4" w:space="0"/>
              <w:left w:val="single" w:color="auto" w:sz="4" w:space="0"/>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序号</w:t>
            </w:r>
          </w:p>
        </w:tc>
        <w:tc>
          <w:tcPr>
            <w:tcW w:w="2704" w:type="pct"/>
            <w:tcBorders>
              <w:top w:val="single" w:color="auto" w:sz="4" w:space="0"/>
              <w:left w:val="nil"/>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货物名称</w:t>
            </w:r>
          </w:p>
        </w:tc>
        <w:tc>
          <w:tcPr>
            <w:tcW w:w="924" w:type="pct"/>
            <w:tcBorders>
              <w:top w:val="single" w:color="auto" w:sz="4" w:space="0"/>
              <w:left w:val="nil"/>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数量</w:t>
            </w:r>
          </w:p>
        </w:tc>
        <w:tc>
          <w:tcPr>
            <w:tcW w:w="962" w:type="pct"/>
            <w:tcBorders>
              <w:top w:val="single" w:color="auto" w:sz="4" w:space="0"/>
              <w:left w:val="nil"/>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单位</w:t>
            </w:r>
          </w:p>
        </w:tc>
      </w:tr>
      <w:tr>
        <w:tblPrEx>
          <w:tblCellMar>
            <w:top w:w="0" w:type="dxa"/>
            <w:left w:w="108" w:type="dxa"/>
            <w:bottom w:w="0" w:type="dxa"/>
            <w:right w:w="108" w:type="dxa"/>
          </w:tblCellMar>
        </w:tblPrEx>
        <w:trPr>
          <w:trHeight w:val="463" w:hRule="atLeast"/>
        </w:trPr>
        <w:tc>
          <w:tcPr>
            <w:tcW w:w="410" w:type="pct"/>
            <w:tcBorders>
              <w:top w:val="nil"/>
              <w:left w:val="single" w:color="auto" w:sz="4" w:space="0"/>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1</w:t>
            </w:r>
          </w:p>
        </w:tc>
        <w:tc>
          <w:tcPr>
            <w:tcW w:w="2704"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次氯酸钠</w:t>
            </w:r>
          </w:p>
        </w:tc>
        <w:tc>
          <w:tcPr>
            <w:tcW w:w="924"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lang w:val="en-US"/>
              </w:rPr>
            </w:pPr>
            <w:r>
              <w:rPr>
                <w:rFonts w:hint="eastAsia" w:ascii="楷体" w:hAnsi="楷体" w:eastAsia="楷体" w:cs="楷体"/>
                <w:sz w:val="21"/>
                <w:szCs w:val="21"/>
                <w:lang w:val="en-US" w:eastAsia="zh-CN"/>
              </w:rPr>
              <w:t>200</w:t>
            </w:r>
          </w:p>
        </w:tc>
        <w:tc>
          <w:tcPr>
            <w:tcW w:w="962"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吨/</w:t>
            </w:r>
            <w:r>
              <w:rPr>
                <w:rFonts w:hint="eastAsia" w:ascii="楷体" w:hAnsi="楷体" w:eastAsia="楷体" w:cs="楷体"/>
                <w:sz w:val="21"/>
                <w:szCs w:val="21"/>
                <w:lang w:val="en-US" w:eastAsia="zh-CN"/>
              </w:rPr>
              <w:t>两</w:t>
            </w:r>
            <w:r>
              <w:rPr>
                <w:rFonts w:hint="eastAsia" w:ascii="楷体" w:hAnsi="楷体" w:eastAsia="楷体" w:cs="楷体"/>
                <w:sz w:val="21"/>
                <w:szCs w:val="21"/>
              </w:rPr>
              <w:t>年</w:t>
            </w:r>
          </w:p>
        </w:tc>
      </w:tr>
      <w:tr>
        <w:tblPrEx>
          <w:tblCellMar>
            <w:top w:w="0" w:type="dxa"/>
            <w:left w:w="108" w:type="dxa"/>
            <w:bottom w:w="0" w:type="dxa"/>
            <w:right w:w="108" w:type="dxa"/>
          </w:tblCellMar>
        </w:tblPrEx>
        <w:trPr>
          <w:trHeight w:val="463" w:hRule="atLeast"/>
        </w:trPr>
        <w:tc>
          <w:tcPr>
            <w:tcW w:w="410" w:type="pct"/>
            <w:tcBorders>
              <w:top w:val="nil"/>
              <w:left w:val="single" w:color="auto" w:sz="4" w:space="0"/>
              <w:bottom w:val="nil"/>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2</w:t>
            </w:r>
          </w:p>
        </w:tc>
        <w:tc>
          <w:tcPr>
            <w:tcW w:w="2704" w:type="pct"/>
            <w:tcBorders>
              <w:top w:val="nil"/>
              <w:left w:val="nil"/>
              <w:bottom w:val="nil"/>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强氯片、氯酸钙（或其他按要求的应急消毒药剂等）</w:t>
            </w:r>
          </w:p>
        </w:tc>
        <w:tc>
          <w:tcPr>
            <w:tcW w:w="924" w:type="pct"/>
            <w:tcBorders>
              <w:top w:val="nil"/>
              <w:left w:val="nil"/>
              <w:bottom w:val="nil"/>
              <w:right w:val="single" w:color="auto" w:sz="4" w:space="0"/>
            </w:tcBorders>
            <w:vAlign w:val="center"/>
          </w:tcPr>
          <w:p>
            <w:pPr>
              <w:pStyle w:val="31"/>
              <w:bidi w:val="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0.5</w:t>
            </w:r>
          </w:p>
        </w:tc>
        <w:tc>
          <w:tcPr>
            <w:tcW w:w="962" w:type="pct"/>
            <w:tcBorders>
              <w:top w:val="nil"/>
              <w:left w:val="nil"/>
              <w:bottom w:val="nil"/>
              <w:right w:val="single" w:color="auto" w:sz="4" w:space="0"/>
            </w:tcBorders>
            <w:vAlign w:val="center"/>
          </w:tcPr>
          <w:p>
            <w:pPr>
              <w:pStyle w:val="31"/>
              <w:bidi w:val="0"/>
              <w:rPr>
                <w:rFonts w:hint="eastAsia" w:ascii="楷体" w:hAnsi="楷体" w:eastAsia="楷体" w:cs="楷体"/>
                <w:sz w:val="21"/>
                <w:szCs w:val="21"/>
              </w:rPr>
            </w:pPr>
            <w:r>
              <w:rPr>
                <w:rFonts w:hint="eastAsia" w:ascii="楷体" w:hAnsi="楷体" w:eastAsia="楷体" w:cs="楷体"/>
                <w:sz w:val="21"/>
                <w:szCs w:val="21"/>
              </w:rPr>
              <w:t>吨/</w:t>
            </w:r>
            <w:r>
              <w:rPr>
                <w:rFonts w:hint="eastAsia" w:ascii="楷体" w:hAnsi="楷体" w:eastAsia="楷体" w:cs="楷体"/>
                <w:sz w:val="21"/>
                <w:szCs w:val="21"/>
                <w:lang w:val="en-US" w:eastAsia="zh-CN"/>
              </w:rPr>
              <w:t>两</w:t>
            </w:r>
            <w:r>
              <w:rPr>
                <w:rFonts w:hint="eastAsia" w:ascii="楷体" w:hAnsi="楷体" w:eastAsia="楷体" w:cs="楷体"/>
                <w:sz w:val="21"/>
                <w:szCs w:val="21"/>
              </w:rPr>
              <w:t>年</w:t>
            </w:r>
          </w:p>
        </w:tc>
      </w:tr>
      <w:tr>
        <w:tblPrEx>
          <w:tblCellMar>
            <w:top w:w="0" w:type="dxa"/>
            <w:left w:w="108" w:type="dxa"/>
            <w:bottom w:w="0" w:type="dxa"/>
            <w:right w:w="108" w:type="dxa"/>
          </w:tblCellMar>
        </w:tblPrEx>
        <w:trPr>
          <w:trHeight w:val="463" w:hRule="atLeast"/>
        </w:trPr>
        <w:tc>
          <w:tcPr>
            <w:tcW w:w="410" w:type="pct"/>
            <w:tcBorders>
              <w:top w:val="nil"/>
              <w:left w:val="single" w:color="auto" w:sz="4" w:space="0"/>
              <w:bottom w:val="single" w:color="auto" w:sz="4" w:space="0"/>
              <w:right w:val="single" w:color="auto" w:sz="4" w:space="0"/>
            </w:tcBorders>
            <w:vAlign w:val="center"/>
          </w:tcPr>
          <w:p>
            <w:pPr>
              <w:pStyle w:val="31"/>
              <w:bidi w:val="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3</w:t>
            </w:r>
          </w:p>
        </w:tc>
        <w:tc>
          <w:tcPr>
            <w:tcW w:w="2704"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维保服务</w:t>
            </w:r>
          </w:p>
        </w:tc>
        <w:tc>
          <w:tcPr>
            <w:tcW w:w="924"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2</w:t>
            </w:r>
          </w:p>
        </w:tc>
        <w:tc>
          <w:tcPr>
            <w:tcW w:w="962" w:type="pct"/>
            <w:tcBorders>
              <w:top w:val="nil"/>
              <w:left w:val="nil"/>
              <w:bottom w:val="single" w:color="auto" w:sz="4" w:space="0"/>
              <w:right w:val="single" w:color="auto" w:sz="4" w:space="0"/>
            </w:tcBorders>
            <w:vAlign w:val="center"/>
          </w:tcPr>
          <w:p>
            <w:pPr>
              <w:pStyle w:val="31"/>
              <w:bidi w:val="0"/>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年</w:t>
            </w:r>
          </w:p>
        </w:tc>
      </w:tr>
    </w:tbl>
    <w:p>
      <w:pPr>
        <w:spacing w:line="360" w:lineRule="auto"/>
        <w:ind w:firstLine="422" w:firstLineChars="200"/>
        <w:rPr>
          <w:rFonts w:hint="eastAsia" w:ascii="楷体" w:hAnsi="楷体" w:eastAsia="楷体" w:cs="楷体"/>
          <w:b/>
          <w:sz w:val="21"/>
          <w:szCs w:val="21"/>
        </w:rPr>
      </w:pPr>
      <w:r>
        <w:rPr>
          <w:rFonts w:hint="eastAsia" w:ascii="楷体" w:hAnsi="楷体" w:eastAsia="楷体" w:cs="楷体"/>
          <w:b/>
          <w:sz w:val="21"/>
          <w:szCs w:val="21"/>
        </w:rPr>
        <w:t>注：以上为一年的预估数量，最终结算费用根据实际采购量乘以综合单价计算。若由于上级部门要求或者相关文件要求需更换消毒药剂的，由双方协商后另行约定。</w:t>
      </w:r>
    </w:p>
    <w:p>
      <w:pPr>
        <w:numPr>
          <w:ilvl w:val="0"/>
          <w:numId w:val="0"/>
        </w:numPr>
        <w:autoSpaceDE w:val="0"/>
        <w:autoSpaceDN w:val="0"/>
        <w:adjustRightInd w:val="0"/>
        <w:spacing w:line="360" w:lineRule="auto"/>
        <w:ind w:firstLine="422" w:firstLineChars="200"/>
        <w:rPr>
          <w:rFonts w:hint="default" w:ascii="楷体" w:hAnsi="楷体" w:eastAsia="楷体" w:cs="楷体"/>
          <w:b/>
          <w:sz w:val="21"/>
          <w:szCs w:val="21"/>
          <w:lang w:val="en-US" w:eastAsia="zh-CN"/>
        </w:rPr>
      </w:pPr>
      <w:r>
        <w:rPr>
          <w:rFonts w:hint="eastAsia" w:ascii="楷体" w:hAnsi="楷体" w:eastAsia="楷体" w:cs="楷体"/>
          <w:b/>
          <w:sz w:val="21"/>
          <w:szCs w:val="21"/>
          <w:lang w:val="en-US" w:eastAsia="zh-CN"/>
        </w:rPr>
        <w:t>2.维保要求</w:t>
      </w:r>
    </w:p>
    <w:p>
      <w:pPr>
        <w:numPr>
          <w:ilvl w:val="0"/>
          <w:numId w:val="0"/>
        </w:numPr>
        <w:autoSpaceDE w:val="0"/>
        <w:autoSpaceDN w:val="0"/>
        <w:adjustRightInd w:val="0"/>
        <w:spacing w:line="360" w:lineRule="auto"/>
        <w:ind w:firstLine="422" w:firstLineChars="200"/>
        <w:rPr>
          <w:rFonts w:hint="eastAsia" w:ascii="楷体" w:hAnsi="楷体" w:eastAsia="楷体" w:cs="楷体"/>
          <w:b/>
          <w:sz w:val="21"/>
          <w:szCs w:val="21"/>
          <w:lang w:val="en-US" w:eastAsia="zh-CN"/>
        </w:rPr>
      </w:pPr>
      <w:r>
        <w:rPr>
          <w:rFonts w:hint="eastAsia" w:ascii="楷体" w:hAnsi="楷体" w:eastAsia="楷体" w:cs="楷体"/>
          <w:b/>
          <w:sz w:val="21"/>
          <w:szCs w:val="21"/>
          <w:lang w:val="en-US" w:eastAsia="zh-CN"/>
        </w:rPr>
        <w:t>2.1维保设备清单：</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2791"/>
        <w:gridCol w:w="1720"/>
        <w:gridCol w:w="738"/>
        <w:gridCol w:w="1867"/>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序号</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设备名称</w:t>
            </w:r>
          </w:p>
        </w:tc>
        <w:tc>
          <w:tcPr>
            <w:tcW w:w="914"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产品型号/规格</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数量</w:t>
            </w:r>
          </w:p>
        </w:tc>
        <w:tc>
          <w:tcPr>
            <w:tcW w:w="9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生产单位</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1</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污水处理系统控制柜</w:t>
            </w:r>
          </w:p>
        </w:tc>
        <w:tc>
          <w:tcPr>
            <w:tcW w:w="914" w:type="pct"/>
          </w:tcPr>
          <w:p>
            <w:pPr>
              <w:widowControl w:val="0"/>
              <w:numPr>
                <w:ilvl w:val="0"/>
                <w:numId w:val="0"/>
              </w:numPr>
              <w:autoSpaceDE w:val="0"/>
              <w:autoSpaceDN w:val="0"/>
              <w:adjustRightInd w:val="0"/>
              <w:spacing w:line="240" w:lineRule="auto"/>
              <w:ind w:firstLine="574" w:firstLineChars="0"/>
              <w:jc w:val="both"/>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BKY-Ⅱ</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1</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通环环保</w:t>
            </w:r>
          </w:p>
        </w:tc>
        <w:tc>
          <w:tcPr>
            <w:tcW w:w="858"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2</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消毒粉溶解计量投加设备</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JY-RX800-100LJ</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1</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润兴环保</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3</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加药泵</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YS561-2</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2</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普罗斯特</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4</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药剂桶</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V=1m³</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4</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5</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排泥泵</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WQ-10-10-0.75</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3</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蓝深集团</w:t>
            </w:r>
          </w:p>
        </w:tc>
        <w:tc>
          <w:tcPr>
            <w:tcW w:w="858" w:type="pct"/>
          </w:tcPr>
          <w:p>
            <w:pPr>
              <w:widowControl w:val="0"/>
              <w:numPr>
                <w:ilvl w:val="0"/>
                <w:numId w:val="0"/>
              </w:numPr>
              <w:autoSpaceDE w:val="0"/>
              <w:autoSpaceDN w:val="0"/>
              <w:adjustRightInd w:val="0"/>
              <w:spacing w:line="240" w:lineRule="auto"/>
              <w:jc w:val="both"/>
              <w:rPr>
                <w:rFonts w:hint="default"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沉淀池底部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6</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提升泵</w:t>
            </w:r>
          </w:p>
        </w:tc>
        <w:tc>
          <w:tcPr>
            <w:tcW w:w="914"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color w:val="FF0000"/>
                <w:sz w:val="21"/>
                <w:szCs w:val="21"/>
                <w:highlight w:val="yellow"/>
                <w:vertAlign w:val="baseline"/>
              </w:rPr>
            </w:pP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color w:val="FF0000"/>
                <w:sz w:val="21"/>
                <w:szCs w:val="21"/>
                <w:highlight w:val="yellow"/>
                <w:vertAlign w:val="baseline"/>
              </w:rPr>
            </w:pPr>
          </w:p>
        </w:tc>
        <w:tc>
          <w:tcPr>
            <w:tcW w:w="9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color w:val="FF0000"/>
                <w:sz w:val="21"/>
                <w:szCs w:val="21"/>
                <w:highlight w:val="yellow"/>
                <w:vertAlign w:val="baseline"/>
              </w:rPr>
            </w:pPr>
          </w:p>
        </w:tc>
        <w:tc>
          <w:tcPr>
            <w:tcW w:w="858" w:type="pct"/>
          </w:tcPr>
          <w:p>
            <w:pPr>
              <w:widowControl w:val="0"/>
              <w:numPr>
                <w:ilvl w:val="0"/>
                <w:numId w:val="0"/>
              </w:numPr>
              <w:autoSpaceDE w:val="0"/>
              <w:autoSpaceDN w:val="0"/>
              <w:adjustRightInd w:val="0"/>
              <w:spacing w:line="240" w:lineRule="auto"/>
              <w:jc w:val="both"/>
              <w:rPr>
                <w:rFonts w:hint="default" w:ascii="楷体" w:hAnsi="楷体" w:eastAsia="楷体" w:cs="楷体"/>
                <w:b w:val="0"/>
                <w:bCs/>
                <w:color w:val="FF0000"/>
                <w:sz w:val="21"/>
                <w:szCs w:val="21"/>
                <w:highlight w:val="yellow"/>
                <w:vertAlign w:val="baseline"/>
                <w:lang w:val="en-US" w:eastAsia="zh-CN"/>
              </w:rPr>
            </w:pPr>
            <w:r>
              <w:rPr>
                <w:rFonts w:hint="eastAsia" w:ascii="楷体" w:hAnsi="楷体" w:eastAsia="楷体" w:cs="楷体"/>
                <w:b w:val="0"/>
                <w:bCs/>
                <w:color w:val="auto"/>
                <w:sz w:val="21"/>
                <w:szCs w:val="21"/>
                <w:highlight w:val="none"/>
                <w:vertAlign w:val="baseline"/>
                <w:lang w:val="en-US" w:eastAsia="zh-CN"/>
              </w:rPr>
              <w:t>调节池底部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7</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鼓风机</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BK5006</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3</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rPr>
              <w:t>百事德</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8</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自动格栅除污机</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1</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9</w:t>
            </w:r>
          </w:p>
        </w:tc>
        <w:tc>
          <w:tcPr>
            <w:tcW w:w="1483"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除臭装置</w:t>
            </w:r>
          </w:p>
        </w:tc>
        <w:tc>
          <w:tcPr>
            <w:tcW w:w="914"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w:t>
            </w:r>
          </w:p>
        </w:tc>
        <w:tc>
          <w:tcPr>
            <w:tcW w:w="392"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1</w:t>
            </w:r>
          </w:p>
        </w:tc>
        <w:tc>
          <w:tcPr>
            <w:tcW w:w="992" w:type="pct"/>
          </w:tcPr>
          <w:p>
            <w:pPr>
              <w:widowControl w:val="0"/>
              <w:numPr>
                <w:ilvl w:val="0"/>
                <w:numId w:val="0"/>
              </w:numPr>
              <w:autoSpaceDE w:val="0"/>
              <w:autoSpaceDN w:val="0"/>
              <w:adjustRightInd w:val="0"/>
              <w:spacing w:line="240" w:lineRule="auto"/>
              <w:jc w:val="center"/>
              <w:rPr>
                <w:rFonts w:hint="eastAsia" w:ascii="楷体" w:hAnsi="楷体" w:eastAsia="楷体" w:cs="楷体"/>
                <w:b w:val="0"/>
                <w:bCs/>
                <w:sz w:val="21"/>
                <w:szCs w:val="21"/>
                <w:vertAlign w:val="baseline"/>
                <w:lang w:val="en-US" w:eastAsia="zh-CN"/>
              </w:rPr>
            </w:pPr>
            <w:r>
              <w:rPr>
                <w:rFonts w:hint="eastAsia" w:ascii="楷体" w:hAnsi="楷体" w:eastAsia="楷体" w:cs="楷体"/>
                <w:b w:val="0"/>
                <w:bCs/>
                <w:sz w:val="21"/>
                <w:szCs w:val="21"/>
                <w:vertAlign w:val="baseline"/>
                <w:lang w:val="en-US" w:eastAsia="zh-CN"/>
              </w:rPr>
              <w:t>/</w:t>
            </w:r>
          </w:p>
        </w:tc>
        <w:tc>
          <w:tcPr>
            <w:tcW w:w="858" w:type="pct"/>
          </w:tcPr>
          <w:p>
            <w:pPr>
              <w:widowControl w:val="0"/>
              <w:numPr>
                <w:ilvl w:val="0"/>
                <w:numId w:val="0"/>
              </w:numPr>
              <w:autoSpaceDE w:val="0"/>
              <w:autoSpaceDN w:val="0"/>
              <w:adjustRightInd w:val="0"/>
              <w:spacing w:line="240" w:lineRule="auto"/>
              <w:jc w:val="both"/>
              <w:rPr>
                <w:rFonts w:hint="eastAsia" w:ascii="楷体" w:hAnsi="楷体" w:eastAsia="楷体" w:cs="楷体"/>
                <w:b w:val="0"/>
                <w:bCs/>
                <w:sz w:val="21"/>
                <w:szCs w:val="21"/>
                <w:vertAlign w:val="baseline"/>
              </w:rPr>
            </w:pPr>
            <w:r>
              <w:rPr>
                <w:rFonts w:hint="eastAsia" w:ascii="楷体" w:hAnsi="楷体" w:eastAsia="楷体" w:cs="楷体"/>
                <w:b w:val="0"/>
                <w:bCs/>
                <w:sz w:val="21"/>
                <w:szCs w:val="21"/>
                <w:vertAlign w:val="baseline"/>
                <w:lang w:val="en-US" w:eastAsia="zh-CN"/>
              </w:rPr>
              <w:t>UV紫外线光解</w:t>
            </w:r>
          </w:p>
        </w:tc>
      </w:tr>
    </w:tbl>
    <w:p>
      <w:pPr>
        <w:numPr>
          <w:ilvl w:val="0"/>
          <w:numId w:val="0"/>
        </w:numPr>
        <w:autoSpaceDE w:val="0"/>
        <w:autoSpaceDN w:val="0"/>
        <w:adjustRightInd w:val="0"/>
        <w:spacing w:line="360" w:lineRule="auto"/>
        <w:ind w:firstLine="422" w:firstLineChars="200"/>
        <w:rPr>
          <w:rFonts w:hint="eastAsia" w:ascii="楷体" w:hAnsi="楷体" w:eastAsia="楷体" w:cs="楷体"/>
          <w:sz w:val="21"/>
          <w:szCs w:val="21"/>
          <w:lang w:eastAsia="zh-CN"/>
        </w:rPr>
      </w:pPr>
      <w:r>
        <w:rPr>
          <w:rFonts w:hint="eastAsia" w:ascii="楷体" w:hAnsi="楷体" w:eastAsia="楷体" w:cs="楷体"/>
          <w:b/>
          <w:sz w:val="21"/>
          <w:szCs w:val="21"/>
          <w:lang w:val="en-US" w:eastAsia="zh-CN"/>
        </w:rPr>
        <w:t>2.2</w:t>
      </w:r>
      <w:r>
        <w:rPr>
          <w:rFonts w:hint="eastAsia" w:ascii="楷体" w:hAnsi="楷体" w:eastAsia="楷体" w:cs="楷体"/>
          <w:b/>
          <w:sz w:val="21"/>
          <w:szCs w:val="21"/>
        </w:rPr>
        <w:t>设备</w:t>
      </w:r>
      <w:r>
        <w:rPr>
          <w:rFonts w:hint="eastAsia" w:ascii="楷体" w:hAnsi="楷体" w:eastAsia="楷体" w:cs="楷体"/>
          <w:b/>
          <w:sz w:val="21"/>
          <w:szCs w:val="21"/>
          <w:lang w:val="en-US" w:eastAsia="zh-CN"/>
        </w:rPr>
        <w:t>维保</w:t>
      </w:r>
      <w:r>
        <w:rPr>
          <w:rFonts w:hint="eastAsia" w:ascii="楷体" w:hAnsi="楷体" w:eastAsia="楷体" w:cs="楷体"/>
          <w:b/>
          <w:sz w:val="21"/>
          <w:szCs w:val="21"/>
        </w:rPr>
        <w:t>需求：</w:t>
      </w:r>
    </w:p>
    <w:tbl>
      <w:tblPr>
        <w:tblStyle w:val="24"/>
        <w:tblW w:w="5151"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8"/>
        <w:gridCol w:w="1865"/>
        <w:gridCol w:w="4936"/>
        <w:gridCol w:w="1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序号</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项目</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工作内容</w:t>
            </w:r>
          </w:p>
        </w:tc>
        <w:tc>
          <w:tcPr>
            <w:tcW w:w="841"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备注维保周期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阀门管路系统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所有阀芯部位加注润滑脂</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蝶阀、闸阀、球阀手动检查</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2</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格栅系统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格栅支架除锈防腐等</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一年一次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格栅设备检查、外观防腐防锈</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每3个月为周期润滑齿轮组件、每6个月为周期补充、更换电机机油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3</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污水泵系统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检修电机油质及更换新油</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每个月至少一次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提升导链或尼龙绳更换</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检查电气控制是否正常并维护修理</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外观及零配件除锈防腐</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清理水泵吸入口垃圾缠绕物</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自耦装置按需耦合调整</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配套液位浮球检查及更换</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污水泵提升管路检查修复（下池作业）</w:t>
            </w:r>
          </w:p>
        </w:tc>
        <w:tc>
          <w:tcPr>
            <w:tcW w:w="841" w:type="pct"/>
            <w:vMerge w:val="continue"/>
            <w:vAlign w:val="center"/>
          </w:tcPr>
          <w:p>
            <w:pPr>
              <w:pStyle w:val="31"/>
              <w:bidi w:val="0"/>
              <w:spacing w:line="240" w:lineRule="auto"/>
              <w:rPr>
                <w:rFonts w:hint="eastAsia" w:ascii="楷体" w:hAnsi="楷体" w:eastAsia="楷体" w:cs="楷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4</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鼓风机系统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补充电机轴承内润滑油，检查油质及更换新油</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每一个月补充、更换电机轴承内润滑油（黄油）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检查齿轮润滑油油质及更换添加新油</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每两个半月更换齿轮润滑油（机油）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清洗烘干空气滤清器</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检修并及时调整油嘴滴油数量</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rPr>
              <w:t>检查皮带松紧程度</w:t>
            </w:r>
            <w:r>
              <w:rPr>
                <w:rFonts w:hint="eastAsia" w:ascii="楷体" w:hAnsi="楷体" w:eastAsia="楷体" w:cs="楷体"/>
                <w:sz w:val="21"/>
                <w:szCs w:val="21"/>
                <w:lang w:eastAsia="zh-CN"/>
              </w:rPr>
              <w:t>、</w:t>
            </w:r>
            <w:r>
              <w:rPr>
                <w:rFonts w:hint="eastAsia" w:ascii="楷体" w:hAnsi="楷体" w:eastAsia="楷体" w:cs="楷体"/>
                <w:sz w:val="21"/>
                <w:szCs w:val="21"/>
              </w:rPr>
              <w:t>调整张紧度</w:t>
            </w:r>
            <w:r>
              <w:rPr>
                <w:rFonts w:hint="eastAsia" w:ascii="楷体" w:hAnsi="楷体" w:eastAsia="楷体" w:cs="楷体"/>
                <w:sz w:val="21"/>
                <w:szCs w:val="21"/>
                <w:lang w:val="en-US" w:eastAsia="zh-CN"/>
              </w:rPr>
              <w:t>及更换损坏的皮带</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检查风机压力表并校准</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检查电气控制是否正常</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外观及零配件除锈防腐</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5</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加药装置系统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检查电气控制是否正常</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检修设备阀门接头是否松动及老化</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加药管路清洗、反洗</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每个月至少一次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计量泵流量校准</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按委托方要求或根据现状判断决定维修、维保或更换周期（每个月至少清洗一次）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压阀背压值校准</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易损件接头定期更换</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计量泵膜片清洗</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消毒剂配比调试</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检查多功能阀并定期排气</w:t>
            </w:r>
          </w:p>
        </w:tc>
        <w:tc>
          <w:tcPr>
            <w:tcW w:w="841" w:type="pct"/>
            <w:vMerge w:val="continue"/>
            <w:vAlign w:val="center"/>
          </w:tcPr>
          <w:p>
            <w:pPr>
              <w:pStyle w:val="31"/>
              <w:bidi w:val="0"/>
              <w:spacing w:line="240" w:lineRule="auto"/>
              <w:rPr>
                <w:rFonts w:hint="eastAsia" w:ascii="楷体" w:hAnsi="楷体" w:eastAsia="楷体" w:cs="楷体"/>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6</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污水工艺系统巡检</w:t>
            </w:r>
          </w:p>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rPr>
              <w:t>污水站相关池体巡查并</w:t>
            </w:r>
            <w:r>
              <w:rPr>
                <w:rFonts w:hint="eastAsia" w:ascii="楷体" w:hAnsi="楷体" w:eastAsia="楷体" w:cs="楷体"/>
                <w:sz w:val="21"/>
                <w:szCs w:val="21"/>
                <w:lang w:val="en-US" w:eastAsia="zh-CN"/>
              </w:rPr>
              <w:t>做好巡查记录</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每个月至少一次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保证当次巡检找出问题及提出解决方案</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lang w:val="en-US" w:eastAsia="zh-CN"/>
              </w:rPr>
              <w:t>污水站整体运行能力体检、水质检查</w:t>
            </w:r>
          </w:p>
        </w:tc>
        <w:tc>
          <w:tcPr>
            <w:tcW w:w="841" w:type="pct"/>
            <w:vAlign w:val="center"/>
          </w:tcPr>
          <w:p>
            <w:pPr>
              <w:pStyle w:val="31"/>
              <w:bidi w:val="0"/>
              <w:spacing w:line="240" w:lineRule="auto"/>
              <w:rPr>
                <w:rFonts w:hint="default" w:ascii="楷体" w:hAnsi="楷体" w:eastAsia="楷体" w:cs="楷体"/>
                <w:sz w:val="21"/>
                <w:szCs w:val="21"/>
                <w:lang w:val="en-US" w:eastAsia="zh-CN"/>
              </w:rPr>
            </w:pPr>
            <w:r>
              <w:rPr>
                <w:rFonts w:hint="eastAsia" w:ascii="楷体" w:hAnsi="楷体" w:eastAsia="楷体" w:cs="楷体"/>
                <w:sz w:val="21"/>
                <w:szCs w:val="21"/>
                <w:lang w:val="en-US" w:eastAsia="zh-CN"/>
              </w:rPr>
              <w:t>每年两次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trPr>
        <w:tc>
          <w:tcPr>
            <w:tcW w:w="569"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7</w:t>
            </w:r>
          </w:p>
        </w:tc>
        <w:tc>
          <w:tcPr>
            <w:tcW w:w="984"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电气控制柜系统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检查空气开关并维护</w:t>
            </w:r>
          </w:p>
        </w:tc>
        <w:tc>
          <w:tcPr>
            <w:tcW w:w="841" w:type="pct"/>
            <w:vMerge w:val="restar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检查继电器并维护</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检查交流接触器并维护</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重新紧固接线端子</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检修控制面板按钮、旋钮开关、指示灯等接线及触点</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检修调试程序异常</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trPr>
        <w:tc>
          <w:tcPr>
            <w:tcW w:w="569" w:type="pct"/>
            <w:vMerge w:val="continue"/>
            <w:vAlign w:val="center"/>
          </w:tcPr>
          <w:p>
            <w:pPr>
              <w:pStyle w:val="31"/>
              <w:bidi w:val="0"/>
              <w:spacing w:line="240" w:lineRule="auto"/>
              <w:rPr>
                <w:rFonts w:hint="eastAsia" w:ascii="楷体" w:hAnsi="楷体" w:eastAsia="楷体" w:cs="楷体"/>
                <w:sz w:val="21"/>
                <w:szCs w:val="21"/>
              </w:rPr>
            </w:pPr>
          </w:p>
        </w:tc>
        <w:tc>
          <w:tcPr>
            <w:tcW w:w="984" w:type="pct"/>
            <w:vMerge w:val="continue"/>
            <w:vAlign w:val="center"/>
          </w:tcPr>
          <w:p>
            <w:pPr>
              <w:pStyle w:val="31"/>
              <w:bidi w:val="0"/>
              <w:spacing w:line="240" w:lineRule="auto"/>
              <w:rPr>
                <w:rFonts w:hint="eastAsia" w:ascii="楷体" w:hAnsi="楷体" w:eastAsia="楷体" w:cs="楷体"/>
                <w:sz w:val="21"/>
                <w:szCs w:val="21"/>
              </w:rPr>
            </w:pPr>
          </w:p>
        </w:tc>
        <w:tc>
          <w:tcPr>
            <w:tcW w:w="2604" w:type="pct"/>
            <w:vAlign w:val="center"/>
          </w:tcPr>
          <w:p>
            <w:pPr>
              <w:pStyle w:val="31"/>
              <w:bidi w:val="0"/>
              <w:spacing w:line="240" w:lineRule="auto"/>
              <w:rPr>
                <w:rFonts w:hint="eastAsia" w:ascii="楷体" w:hAnsi="楷体" w:eastAsia="楷体" w:cs="楷体"/>
                <w:sz w:val="21"/>
                <w:szCs w:val="21"/>
                <w:lang w:val="en-US" w:eastAsia="zh-CN"/>
              </w:rPr>
            </w:pPr>
            <w:r>
              <w:rPr>
                <w:rFonts w:hint="eastAsia" w:ascii="楷体" w:hAnsi="楷体" w:eastAsia="楷体" w:cs="楷体"/>
                <w:sz w:val="21"/>
                <w:szCs w:val="21"/>
              </w:rPr>
              <w:t>检查PLC 控制模板，并根据设备使用要求提供</w:t>
            </w:r>
            <w:r>
              <w:rPr>
                <w:rFonts w:hint="eastAsia" w:ascii="楷体" w:hAnsi="楷体" w:eastAsia="楷体" w:cs="楷体"/>
                <w:sz w:val="21"/>
                <w:szCs w:val="21"/>
                <w:lang w:val="en-US" w:eastAsia="zh-CN"/>
              </w:rPr>
              <w:t>技术升级方案</w:t>
            </w:r>
          </w:p>
        </w:tc>
        <w:tc>
          <w:tcPr>
            <w:tcW w:w="841" w:type="pct"/>
            <w:vMerge w:val="continue"/>
            <w:vAlign w:val="center"/>
          </w:tcPr>
          <w:p>
            <w:pPr>
              <w:pStyle w:val="31"/>
              <w:bidi w:val="0"/>
              <w:spacing w:line="240" w:lineRule="auto"/>
              <w:rPr>
                <w:rFonts w:hint="eastAsia" w:ascii="楷体" w:hAnsi="楷体" w:eastAsia="楷体" w:cs="楷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8</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除臭设备</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除臭设备检查，离子发生器维修、紫外线灯管维修等</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每个月至少一次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10</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其它</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其它未提及的设备报修检修等项目</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按委托方要求或根据现状判断决定维修、维保或更换周期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11</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清洁卫生</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打扫污水处理站，保持整齐、干净</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每次来巡查时完成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12</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台账记录</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每次按规范要求做好污水维保台账记录、并提供每次维修保养检查记录单作为备案资料</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每次来巡查时完成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13</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卫生指标检测</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委托具有资质的水质单位对两院区污水按照要求进行污水处理质量卫生指标检测。（具体指标为每月一次粪大肠菌群数、总余氯和PH值，每季度一次沙门氏菌，每半年一次志贺氏菌，若有其他相关文件新增指标，再按要求增加。）</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费用包含在报价内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8" w:hRule="atLeast"/>
        </w:trPr>
        <w:tc>
          <w:tcPr>
            <w:tcW w:w="569"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14</w:t>
            </w:r>
          </w:p>
        </w:tc>
        <w:tc>
          <w:tcPr>
            <w:tcW w:w="98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配合工作</w:t>
            </w:r>
          </w:p>
        </w:tc>
        <w:tc>
          <w:tcPr>
            <w:tcW w:w="2604"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配合医院完成其他工作事宜，如应急预案演练</w:t>
            </w:r>
            <w:r>
              <w:rPr>
                <w:rFonts w:hint="eastAsia" w:ascii="楷体" w:hAnsi="楷体" w:eastAsia="楷体" w:cs="楷体"/>
                <w:sz w:val="21"/>
                <w:szCs w:val="21"/>
                <w:lang w:val="en-US" w:eastAsia="zh-CN"/>
              </w:rPr>
              <w:t>和安全隐患排查</w:t>
            </w:r>
            <w:r>
              <w:rPr>
                <w:rFonts w:hint="eastAsia" w:ascii="楷体" w:hAnsi="楷体" w:eastAsia="楷体" w:cs="楷体"/>
                <w:sz w:val="21"/>
                <w:szCs w:val="21"/>
              </w:rPr>
              <w:t>等</w:t>
            </w:r>
          </w:p>
        </w:tc>
        <w:tc>
          <w:tcPr>
            <w:tcW w:w="841" w:type="pct"/>
            <w:vAlign w:val="center"/>
          </w:tcPr>
          <w:p>
            <w:pPr>
              <w:pStyle w:val="31"/>
              <w:bidi w:val="0"/>
              <w:spacing w:line="240" w:lineRule="auto"/>
              <w:rPr>
                <w:rFonts w:hint="eastAsia" w:ascii="楷体" w:hAnsi="楷体" w:eastAsia="楷体" w:cs="楷体"/>
                <w:sz w:val="21"/>
                <w:szCs w:val="21"/>
              </w:rPr>
            </w:pPr>
            <w:r>
              <w:rPr>
                <w:rFonts w:hint="eastAsia" w:ascii="楷体" w:hAnsi="楷体" w:eastAsia="楷体" w:cs="楷体"/>
                <w:sz w:val="21"/>
                <w:szCs w:val="21"/>
              </w:rPr>
              <w:t>每年一次</w:t>
            </w:r>
          </w:p>
        </w:tc>
      </w:tr>
    </w:tbl>
    <w:p>
      <w:pPr>
        <w:ind w:left="0" w:leftChars="0" w:firstLine="0" w:firstLineChars="0"/>
        <w:rPr>
          <w:rFonts w:hint="eastAsia" w:ascii="楷体" w:hAnsi="楷体" w:eastAsia="楷体" w:cs="楷体"/>
          <w:sz w:val="21"/>
          <w:szCs w:val="21"/>
          <w:lang w:val="en-US" w:eastAsia="zh-CN"/>
        </w:rPr>
      </w:pPr>
    </w:p>
    <w:p>
      <w:pPr>
        <w:ind w:left="0" w:leftChars="0" w:firstLine="422" w:firstLineChars="200"/>
        <w:rPr>
          <w:rFonts w:hint="eastAsia" w:ascii="楷体" w:hAnsi="楷体" w:eastAsia="楷体" w:cs="楷体"/>
          <w:b/>
          <w:bCs/>
          <w:sz w:val="21"/>
          <w:szCs w:val="21"/>
          <w:lang w:val="en-US" w:eastAsia="zh-CN"/>
        </w:rPr>
      </w:pPr>
      <w:r>
        <w:rPr>
          <w:rFonts w:hint="eastAsia" w:ascii="楷体" w:hAnsi="楷体" w:eastAsia="楷体" w:cs="楷体"/>
          <w:b/>
          <w:bCs/>
          <w:sz w:val="21"/>
          <w:szCs w:val="21"/>
          <w:lang w:val="en-US" w:eastAsia="zh-CN"/>
        </w:rPr>
        <w:t>2.3其他维保服务要求</w:t>
      </w:r>
    </w:p>
    <w:p>
      <w:pPr>
        <w:pStyle w:val="4"/>
        <w:ind w:left="0" w:leftChars="0" w:firstLine="420" w:firstLineChars="200"/>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2.3.1重要节假日（如五一、国庆、春</w:t>
      </w:r>
      <w:bookmarkStart w:id="0" w:name="_GoBack"/>
      <w:bookmarkEnd w:id="0"/>
      <w:r>
        <w:rPr>
          <w:rFonts w:hint="eastAsia" w:ascii="楷体" w:hAnsi="楷体" w:eastAsia="楷体" w:cs="楷体"/>
          <w:kern w:val="2"/>
          <w:sz w:val="21"/>
          <w:szCs w:val="21"/>
          <w:lang w:val="en-US" w:eastAsia="zh-CN" w:bidi="ar-SA"/>
        </w:rPr>
        <w:t>节等）协助采购人对整套系统进行巡查，确保设备在此期间正常运行。</w:t>
      </w:r>
    </w:p>
    <w:p>
      <w:pPr>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2.3.2遇突发情况，响应时间需在</w:t>
      </w:r>
      <w:r>
        <w:rPr>
          <w:rFonts w:hint="eastAsia" w:ascii="楷体" w:hAnsi="楷体" w:eastAsia="楷体" w:cs="楷体"/>
          <w:b/>
          <w:bCs/>
          <w:color w:val="FF0000"/>
          <w:kern w:val="2"/>
          <w:sz w:val="21"/>
          <w:szCs w:val="21"/>
          <w:lang w:val="en-US" w:eastAsia="zh-CN" w:bidi="ar-SA"/>
        </w:rPr>
        <w:t>1</w:t>
      </w:r>
      <w:r>
        <w:rPr>
          <w:rFonts w:hint="eastAsia" w:ascii="楷体" w:hAnsi="楷体" w:eastAsia="楷体" w:cs="楷体"/>
          <w:color w:val="FF0000"/>
          <w:kern w:val="2"/>
          <w:sz w:val="21"/>
          <w:szCs w:val="21"/>
          <w:lang w:val="en-US" w:eastAsia="zh-CN" w:bidi="ar-SA"/>
        </w:rPr>
        <w:t>小时</w:t>
      </w:r>
      <w:r>
        <w:rPr>
          <w:rFonts w:hint="eastAsia" w:ascii="楷体" w:hAnsi="楷体" w:eastAsia="楷体" w:cs="楷体"/>
          <w:kern w:val="2"/>
          <w:sz w:val="21"/>
          <w:szCs w:val="21"/>
          <w:lang w:val="en-US" w:eastAsia="zh-CN" w:bidi="ar-SA"/>
        </w:rPr>
        <w:t>内赶赴现场处理，未说明原因超出响应时间范围，按相关要求进行处罚。</w:t>
      </w:r>
    </w:p>
    <w:p>
      <w:pPr>
        <w:pStyle w:val="2"/>
        <w:ind w:firstLine="420" w:firstLineChars="200"/>
        <w:rPr>
          <w:rFonts w:hint="eastAsia" w:ascii="楷体" w:hAnsi="楷体" w:eastAsia="楷体" w:cs="楷体"/>
          <w:kern w:val="2"/>
          <w:sz w:val="21"/>
          <w:szCs w:val="21"/>
          <w:lang w:val="en-US" w:eastAsia="zh-CN" w:bidi="ar-SA"/>
        </w:rPr>
      </w:pPr>
      <w:r>
        <w:rPr>
          <w:rFonts w:hint="eastAsia" w:ascii="楷体" w:hAnsi="楷体" w:eastAsia="楷体" w:cs="楷体"/>
          <w:kern w:val="2"/>
          <w:sz w:val="21"/>
          <w:szCs w:val="21"/>
          <w:lang w:val="en-US" w:eastAsia="zh-CN" w:bidi="ar-SA"/>
        </w:rPr>
        <w:t>2.3.3 对相关人员定期进行相关专业知识及环保法规培训，每年不少于一次(费用包含在报价中）。</w:t>
      </w:r>
    </w:p>
    <w:p>
      <w:pPr>
        <w:pStyle w:val="4"/>
        <w:ind w:left="0" w:leftChars="0" w:firstLine="560" w:firstLineChars="200"/>
        <w:rPr>
          <w:rFonts w:hint="default"/>
          <w:lang w:val="en-US" w:eastAsia="zh-CN"/>
        </w:rPr>
      </w:pPr>
    </w:p>
    <w:sectPr>
      <w:headerReference r:id="rId5" w:type="default"/>
      <w:footerReference r:id="rId6" w:type="default"/>
      <w:pgSz w:w="11906" w:h="16838"/>
      <w:pgMar w:top="1304" w:right="1417" w:bottom="1304" w:left="1304" w:header="851" w:footer="992" w:gutter="0"/>
      <w:pgNumType w:fmt="decimal"/>
      <w:cols w:space="0" w:num="1"/>
      <w:rtlGutter w:val="0"/>
      <w:docGrid w:type="lines" w:linePitch="32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FC888"/>
    <w:multiLevelType w:val="multilevel"/>
    <w:tmpl w:val="02CFC888"/>
    <w:lvl w:ilvl="0" w:tentative="0">
      <w:start w:val="1"/>
      <w:numFmt w:val="decimal"/>
      <w:pStyle w:val="5"/>
      <w:isLgl/>
      <w:suff w:val="space"/>
      <w:lvlText w:val="%1、"/>
      <w:lvlJc w:val="center"/>
      <w:pPr>
        <w:tabs>
          <w:tab w:val="left" w:pos="0"/>
        </w:tabs>
        <w:ind w:left="5529" w:firstLine="0"/>
      </w:pPr>
      <w:rPr>
        <w:rFonts w:hint="default" w:ascii="宋体" w:hAnsi="宋体" w:eastAsia="宋体" w:cs="宋体"/>
        <w:b/>
        <w:i w:val="0"/>
        <w:sz w:val="32"/>
      </w:rPr>
    </w:lvl>
    <w:lvl w:ilvl="1" w:tentative="0">
      <w:start w:val="1"/>
      <w:numFmt w:val="decimal"/>
      <w:pStyle w:val="6"/>
      <w:isLgl/>
      <w:suff w:val="space"/>
      <w:lvlText w:val="%1.%2 "/>
      <w:lvlJc w:val="left"/>
      <w:pPr>
        <w:ind w:left="0" w:firstLine="0"/>
      </w:pPr>
      <w:rPr>
        <w:rFonts w:hint="default" w:ascii="宋体" w:hAnsi="宋体" w:eastAsia="宋体" w:cs="宋体"/>
      </w:rPr>
    </w:lvl>
    <w:lvl w:ilvl="2" w:tentative="0">
      <w:start w:val="1"/>
      <w:numFmt w:val="decimal"/>
      <w:pStyle w:val="7"/>
      <w:isLgl/>
      <w:suff w:val="space"/>
      <w:lvlText w:val="%1.%2.%3 "/>
      <w:lvlJc w:val="left"/>
      <w:pPr>
        <w:ind w:left="0" w:firstLine="0"/>
      </w:pPr>
      <w:rPr>
        <w:rFonts w:hint="eastAsia"/>
      </w:rPr>
    </w:lvl>
    <w:lvl w:ilvl="3" w:tentative="0">
      <w:start w:val="1"/>
      <w:numFmt w:val="decimal"/>
      <w:pStyle w:val="8"/>
      <w:isLgl/>
      <w:suff w:val="space"/>
      <w:lvlText w:val="%1.%2.%3.%4 "/>
      <w:lvlJc w:val="left"/>
      <w:pPr>
        <w:ind w:left="0" w:firstLine="0"/>
      </w:pPr>
      <w:rPr>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4" w:tentative="0">
      <w:start w:val="1"/>
      <w:numFmt w:val="decimal"/>
      <w:pStyle w:val="9"/>
      <w:suff w:val="space"/>
      <w:lvlText w:val="%1.%2.%3.%4.%5"/>
      <w:lvlJc w:val="left"/>
      <w:pPr>
        <w:ind w:left="0" w:firstLine="0"/>
      </w:pPr>
      <w:rPr>
        <w:rFonts w:hint="default" w:ascii="Times New Roman" w:hAnsi="Times New Roman" w:eastAsia="仿宋"/>
        <w:b/>
        <w:i w:val="0"/>
        <w:sz w:val="24"/>
      </w:rPr>
    </w:lvl>
    <w:lvl w:ilvl="5" w:tentative="0">
      <w:start w:val="1"/>
      <w:numFmt w:val="decimal"/>
      <w:pStyle w:val="10"/>
      <w:isLgl/>
      <w:suff w:val="space"/>
      <w:lvlText w:val="（%6） "/>
      <w:lvlJc w:val="left"/>
      <w:pPr>
        <w:ind w:left="0" w:firstLine="420"/>
      </w:pPr>
      <w:rPr>
        <w:rFonts w:hint="default" w:ascii="Times New Roman" w:hAnsi="Times New Roman" w:eastAsia="仿宋"/>
        <w:b w:val="0"/>
        <w:i w:val="0"/>
        <w:sz w:val="24"/>
      </w:rPr>
    </w:lvl>
    <w:lvl w:ilvl="6" w:tentative="0">
      <w:start w:val="1"/>
      <w:numFmt w:val="lowerLetter"/>
      <w:pStyle w:val="11"/>
      <w:suff w:val="space"/>
      <w:lvlText w:val="%7. "/>
      <w:lvlJc w:val="left"/>
      <w:pPr>
        <w:ind w:left="0" w:firstLine="839"/>
      </w:pPr>
      <w:rPr>
        <w:rFonts w:hint="default" w:ascii="Times New Roman" w:hAnsi="Times New Roman" w:eastAsia="仿宋"/>
        <w:b w:val="0"/>
        <w:i w:val="0"/>
        <w:sz w:val="24"/>
      </w:rPr>
    </w:lvl>
    <w:lvl w:ilvl="7" w:tentative="0">
      <w:start w:val="1"/>
      <w:numFmt w:val="decimal"/>
      <w:pStyle w:val="12"/>
      <w:isLgl/>
      <w:suff w:val="space"/>
      <w:lvlText w:val="%1.%2.%3.%4.%5.%6.%7.%8 "/>
      <w:lvlJc w:val="left"/>
      <w:pPr>
        <w:ind w:left="0" w:firstLine="0"/>
      </w:pPr>
      <w:rPr>
        <w:rFonts w:hint="eastAsia"/>
      </w:rPr>
    </w:lvl>
    <w:lvl w:ilvl="8" w:tentative="0">
      <w:start w:val="1"/>
      <w:numFmt w:val="decimal"/>
      <w:pStyle w:val="13"/>
      <w:isLgl/>
      <w:suff w:val="space"/>
      <w:lvlText w:val="%1.%2.%3.%4.%5.%6.%7.%8.%9 "/>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mMWJjNDE0ZjVmNWEzMWU4NmNiYTUwOTcwZWFmMzAifQ=="/>
  </w:docVars>
  <w:rsids>
    <w:rsidRoot w:val="33AB6653"/>
    <w:rsid w:val="00013C1B"/>
    <w:rsid w:val="00082E52"/>
    <w:rsid w:val="000B00BD"/>
    <w:rsid w:val="00317B58"/>
    <w:rsid w:val="004A39B7"/>
    <w:rsid w:val="00AD1170"/>
    <w:rsid w:val="00F97F04"/>
    <w:rsid w:val="012E329B"/>
    <w:rsid w:val="01490575"/>
    <w:rsid w:val="01506663"/>
    <w:rsid w:val="015E0DDD"/>
    <w:rsid w:val="01AE2C36"/>
    <w:rsid w:val="01C37E90"/>
    <w:rsid w:val="01CE3CD8"/>
    <w:rsid w:val="01D57F2C"/>
    <w:rsid w:val="01FE6135"/>
    <w:rsid w:val="022F5362"/>
    <w:rsid w:val="02771D7F"/>
    <w:rsid w:val="0284756C"/>
    <w:rsid w:val="02875A07"/>
    <w:rsid w:val="02932150"/>
    <w:rsid w:val="02AA44C4"/>
    <w:rsid w:val="02B63515"/>
    <w:rsid w:val="02CA0B29"/>
    <w:rsid w:val="02DD320A"/>
    <w:rsid w:val="032D3F69"/>
    <w:rsid w:val="03375ED8"/>
    <w:rsid w:val="03524244"/>
    <w:rsid w:val="03E46793"/>
    <w:rsid w:val="03ED31C3"/>
    <w:rsid w:val="04155420"/>
    <w:rsid w:val="04275AA9"/>
    <w:rsid w:val="043C47EC"/>
    <w:rsid w:val="045F731C"/>
    <w:rsid w:val="047A5530"/>
    <w:rsid w:val="04B274CF"/>
    <w:rsid w:val="04BF7E5F"/>
    <w:rsid w:val="04C83CCE"/>
    <w:rsid w:val="04D92E0A"/>
    <w:rsid w:val="050952A7"/>
    <w:rsid w:val="051D2CF6"/>
    <w:rsid w:val="05335057"/>
    <w:rsid w:val="05601238"/>
    <w:rsid w:val="056D1774"/>
    <w:rsid w:val="05737DCC"/>
    <w:rsid w:val="0589641F"/>
    <w:rsid w:val="05C71F4A"/>
    <w:rsid w:val="05E1406F"/>
    <w:rsid w:val="05E92747"/>
    <w:rsid w:val="062C1B95"/>
    <w:rsid w:val="06566C90"/>
    <w:rsid w:val="0686281E"/>
    <w:rsid w:val="06A43AF9"/>
    <w:rsid w:val="06BA1DB6"/>
    <w:rsid w:val="06C87F5F"/>
    <w:rsid w:val="06CA7AD2"/>
    <w:rsid w:val="07036017"/>
    <w:rsid w:val="074677BD"/>
    <w:rsid w:val="078D789F"/>
    <w:rsid w:val="07990710"/>
    <w:rsid w:val="07F6195A"/>
    <w:rsid w:val="081133AA"/>
    <w:rsid w:val="08415E0C"/>
    <w:rsid w:val="088B4930"/>
    <w:rsid w:val="08960925"/>
    <w:rsid w:val="089E140A"/>
    <w:rsid w:val="08F17FBD"/>
    <w:rsid w:val="09471656"/>
    <w:rsid w:val="09483817"/>
    <w:rsid w:val="098E64C0"/>
    <w:rsid w:val="099C005E"/>
    <w:rsid w:val="099E006F"/>
    <w:rsid w:val="09AE76C7"/>
    <w:rsid w:val="09D46FBA"/>
    <w:rsid w:val="09FA2FBB"/>
    <w:rsid w:val="0A4219DE"/>
    <w:rsid w:val="0A506362"/>
    <w:rsid w:val="0A6C7592"/>
    <w:rsid w:val="0AAB25FD"/>
    <w:rsid w:val="0AC54135"/>
    <w:rsid w:val="0B0B2131"/>
    <w:rsid w:val="0B2B0DFE"/>
    <w:rsid w:val="0B3A68A2"/>
    <w:rsid w:val="0B936C2D"/>
    <w:rsid w:val="0BC72AD7"/>
    <w:rsid w:val="0BDA4D43"/>
    <w:rsid w:val="0BFC6DE4"/>
    <w:rsid w:val="0C2B46DF"/>
    <w:rsid w:val="0C786B77"/>
    <w:rsid w:val="0C7876AA"/>
    <w:rsid w:val="0CD835F6"/>
    <w:rsid w:val="0CF96174"/>
    <w:rsid w:val="0D1B080A"/>
    <w:rsid w:val="0D2A7E17"/>
    <w:rsid w:val="0D422CD7"/>
    <w:rsid w:val="0DB9337E"/>
    <w:rsid w:val="0DCF7EB9"/>
    <w:rsid w:val="0ED241D9"/>
    <w:rsid w:val="0EED1E85"/>
    <w:rsid w:val="0EEE66B2"/>
    <w:rsid w:val="0F1754F3"/>
    <w:rsid w:val="0F197A76"/>
    <w:rsid w:val="0F632FD5"/>
    <w:rsid w:val="0F6A2CA4"/>
    <w:rsid w:val="0F9F1677"/>
    <w:rsid w:val="0FA7152F"/>
    <w:rsid w:val="0FDB6D4E"/>
    <w:rsid w:val="10047F8D"/>
    <w:rsid w:val="1022009A"/>
    <w:rsid w:val="103C009B"/>
    <w:rsid w:val="10445927"/>
    <w:rsid w:val="104C3105"/>
    <w:rsid w:val="10796C80"/>
    <w:rsid w:val="10837DFC"/>
    <w:rsid w:val="10885957"/>
    <w:rsid w:val="10B86818"/>
    <w:rsid w:val="10DD29ED"/>
    <w:rsid w:val="10EB5003"/>
    <w:rsid w:val="113A0291"/>
    <w:rsid w:val="113B28FD"/>
    <w:rsid w:val="11D259C4"/>
    <w:rsid w:val="11D45D41"/>
    <w:rsid w:val="11D54523"/>
    <w:rsid w:val="11F15443"/>
    <w:rsid w:val="12660F49"/>
    <w:rsid w:val="12CA064A"/>
    <w:rsid w:val="12DF5A0A"/>
    <w:rsid w:val="12EE29FB"/>
    <w:rsid w:val="12F848BE"/>
    <w:rsid w:val="131E7A89"/>
    <w:rsid w:val="133676B4"/>
    <w:rsid w:val="1369148D"/>
    <w:rsid w:val="136A6F98"/>
    <w:rsid w:val="138110F1"/>
    <w:rsid w:val="138F4C8A"/>
    <w:rsid w:val="13A550B5"/>
    <w:rsid w:val="13AA05DD"/>
    <w:rsid w:val="14016A28"/>
    <w:rsid w:val="14170B02"/>
    <w:rsid w:val="141A2574"/>
    <w:rsid w:val="14A3091C"/>
    <w:rsid w:val="14DD3606"/>
    <w:rsid w:val="14FB41BC"/>
    <w:rsid w:val="15272EE1"/>
    <w:rsid w:val="15292645"/>
    <w:rsid w:val="155E0233"/>
    <w:rsid w:val="158D7539"/>
    <w:rsid w:val="158F732C"/>
    <w:rsid w:val="15E250CF"/>
    <w:rsid w:val="16056EDF"/>
    <w:rsid w:val="16A33D3F"/>
    <w:rsid w:val="16C2620F"/>
    <w:rsid w:val="17041CC0"/>
    <w:rsid w:val="17067D16"/>
    <w:rsid w:val="172A0395"/>
    <w:rsid w:val="174C63F4"/>
    <w:rsid w:val="178D1DE3"/>
    <w:rsid w:val="180710E1"/>
    <w:rsid w:val="18303E0C"/>
    <w:rsid w:val="185D71F2"/>
    <w:rsid w:val="1876672C"/>
    <w:rsid w:val="189C7216"/>
    <w:rsid w:val="18DF72B4"/>
    <w:rsid w:val="193D001E"/>
    <w:rsid w:val="194D0C9B"/>
    <w:rsid w:val="195225F6"/>
    <w:rsid w:val="195C3FFC"/>
    <w:rsid w:val="19A212C6"/>
    <w:rsid w:val="19AF3A48"/>
    <w:rsid w:val="19BC7B9E"/>
    <w:rsid w:val="19E73D53"/>
    <w:rsid w:val="19EF76B2"/>
    <w:rsid w:val="1A20525B"/>
    <w:rsid w:val="1AA53758"/>
    <w:rsid w:val="1AB51740"/>
    <w:rsid w:val="1B0A3CAE"/>
    <w:rsid w:val="1B1C0EEA"/>
    <w:rsid w:val="1B4D0C5D"/>
    <w:rsid w:val="1B4D7499"/>
    <w:rsid w:val="1B9A5460"/>
    <w:rsid w:val="1BD47E28"/>
    <w:rsid w:val="1C987494"/>
    <w:rsid w:val="1C9879E2"/>
    <w:rsid w:val="1CCD6E88"/>
    <w:rsid w:val="1CD42E1B"/>
    <w:rsid w:val="1CD47537"/>
    <w:rsid w:val="1D1F1E5C"/>
    <w:rsid w:val="1D532C6D"/>
    <w:rsid w:val="1D6F173C"/>
    <w:rsid w:val="1DB36F03"/>
    <w:rsid w:val="1DB768EF"/>
    <w:rsid w:val="1DD80092"/>
    <w:rsid w:val="1DF14242"/>
    <w:rsid w:val="1E04559D"/>
    <w:rsid w:val="1E2C6062"/>
    <w:rsid w:val="1E773AB6"/>
    <w:rsid w:val="1E830C10"/>
    <w:rsid w:val="1E9368AF"/>
    <w:rsid w:val="1F5533D5"/>
    <w:rsid w:val="1F883690"/>
    <w:rsid w:val="1F8F122D"/>
    <w:rsid w:val="1FBD3443"/>
    <w:rsid w:val="1FD46A7C"/>
    <w:rsid w:val="20335070"/>
    <w:rsid w:val="20375839"/>
    <w:rsid w:val="205D1393"/>
    <w:rsid w:val="205F696A"/>
    <w:rsid w:val="2063693E"/>
    <w:rsid w:val="20773AF5"/>
    <w:rsid w:val="20FE0A9A"/>
    <w:rsid w:val="210F6366"/>
    <w:rsid w:val="21C61E32"/>
    <w:rsid w:val="21EE2864"/>
    <w:rsid w:val="224E0FF9"/>
    <w:rsid w:val="22A85178"/>
    <w:rsid w:val="22C3548B"/>
    <w:rsid w:val="230A3A62"/>
    <w:rsid w:val="23321C0D"/>
    <w:rsid w:val="236576E4"/>
    <w:rsid w:val="23916FE6"/>
    <w:rsid w:val="23C05ABC"/>
    <w:rsid w:val="23F318C2"/>
    <w:rsid w:val="23FC5DDA"/>
    <w:rsid w:val="23FD5B3A"/>
    <w:rsid w:val="240F0C81"/>
    <w:rsid w:val="24101436"/>
    <w:rsid w:val="241155F1"/>
    <w:rsid w:val="243201E9"/>
    <w:rsid w:val="24881853"/>
    <w:rsid w:val="249E765E"/>
    <w:rsid w:val="24D35E56"/>
    <w:rsid w:val="25397371"/>
    <w:rsid w:val="2561737D"/>
    <w:rsid w:val="25766757"/>
    <w:rsid w:val="259529A5"/>
    <w:rsid w:val="25AF16FF"/>
    <w:rsid w:val="25B32FD2"/>
    <w:rsid w:val="262F10A5"/>
    <w:rsid w:val="265D0880"/>
    <w:rsid w:val="265F7D5F"/>
    <w:rsid w:val="26A824C8"/>
    <w:rsid w:val="26CE0DDD"/>
    <w:rsid w:val="26F37DDA"/>
    <w:rsid w:val="27182460"/>
    <w:rsid w:val="272C59B2"/>
    <w:rsid w:val="272F3C18"/>
    <w:rsid w:val="27736720"/>
    <w:rsid w:val="27916B58"/>
    <w:rsid w:val="2792088F"/>
    <w:rsid w:val="27DA441A"/>
    <w:rsid w:val="27DE4375"/>
    <w:rsid w:val="27FA72D3"/>
    <w:rsid w:val="28A54D15"/>
    <w:rsid w:val="28C65156"/>
    <w:rsid w:val="28D53C63"/>
    <w:rsid w:val="28D86D53"/>
    <w:rsid w:val="29112CD5"/>
    <w:rsid w:val="29405623"/>
    <w:rsid w:val="29493112"/>
    <w:rsid w:val="297A08CE"/>
    <w:rsid w:val="29A80C03"/>
    <w:rsid w:val="2A5534C0"/>
    <w:rsid w:val="2A864E5F"/>
    <w:rsid w:val="2AE6692F"/>
    <w:rsid w:val="2B2B3D0F"/>
    <w:rsid w:val="2B2F71CB"/>
    <w:rsid w:val="2B4553B5"/>
    <w:rsid w:val="2BD83BC0"/>
    <w:rsid w:val="2C4737A2"/>
    <w:rsid w:val="2C5B6678"/>
    <w:rsid w:val="2C820906"/>
    <w:rsid w:val="2CA62DA5"/>
    <w:rsid w:val="2CC321FB"/>
    <w:rsid w:val="2CD009A4"/>
    <w:rsid w:val="2CD32415"/>
    <w:rsid w:val="2CE01BBB"/>
    <w:rsid w:val="2CE72FAC"/>
    <w:rsid w:val="2D2D37FD"/>
    <w:rsid w:val="2D654B4C"/>
    <w:rsid w:val="2D7257B8"/>
    <w:rsid w:val="2D8732EE"/>
    <w:rsid w:val="2D8B66B9"/>
    <w:rsid w:val="2E614464"/>
    <w:rsid w:val="2E6E42D3"/>
    <w:rsid w:val="2EC7508B"/>
    <w:rsid w:val="2EDA2DC8"/>
    <w:rsid w:val="2EE550AA"/>
    <w:rsid w:val="2EEF0B6E"/>
    <w:rsid w:val="2F3A3B70"/>
    <w:rsid w:val="2F491B01"/>
    <w:rsid w:val="2F5A2EE1"/>
    <w:rsid w:val="2F7D1E60"/>
    <w:rsid w:val="2F9B322F"/>
    <w:rsid w:val="2FCD233A"/>
    <w:rsid w:val="2FD5216E"/>
    <w:rsid w:val="3031791C"/>
    <w:rsid w:val="30D73930"/>
    <w:rsid w:val="3105157A"/>
    <w:rsid w:val="31187B3C"/>
    <w:rsid w:val="313D4F8C"/>
    <w:rsid w:val="319615D5"/>
    <w:rsid w:val="31AA6E2B"/>
    <w:rsid w:val="31C04320"/>
    <w:rsid w:val="32136DBA"/>
    <w:rsid w:val="32852F7A"/>
    <w:rsid w:val="330361D6"/>
    <w:rsid w:val="33075F65"/>
    <w:rsid w:val="333E23EA"/>
    <w:rsid w:val="337F2493"/>
    <w:rsid w:val="338D227D"/>
    <w:rsid w:val="33A7702F"/>
    <w:rsid w:val="33AB6653"/>
    <w:rsid w:val="341D1B4F"/>
    <w:rsid w:val="341F6A44"/>
    <w:rsid w:val="34386D3C"/>
    <w:rsid w:val="344E4866"/>
    <w:rsid w:val="347E73A8"/>
    <w:rsid w:val="34824315"/>
    <w:rsid w:val="34A5245C"/>
    <w:rsid w:val="34F009D4"/>
    <w:rsid w:val="350F25B2"/>
    <w:rsid w:val="35556066"/>
    <w:rsid w:val="355C2FC2"/>
    <w:rsid w:val="35782A8A"/>
    <w:rsid w:val="35C53842"/>
    <w:rsid w:val="35C63E0F"/>
    <w:rsid w:val="35DE2680"/>
    <w:rsid w:val="35FA7A7F"/>
    <w:rsid w:val="35FC79E3"/>
    <w:rsid w:val="367672DF"/>
    <w:rsid w:val="369811E0"/>
    <w:rsid w:val="37701004"/>
    <w:rsid w:val="377D6E97"/>
    <w:rsid w:val="37892AEE"/>
    <w:rsid w:val="37E73EF7"/>
    <w:rsid w:val="37ED7028"/>
    <w:rsid w:val="382530E5"/>
    <w:rsid w:val="38294BD4"/>
    <w:rsid w:val="3899655B"/>
    <w:rsid w:val="38B73BB4"/>
    <w:rsid w:val="38D64646"/>
    <w:rsid w:val="38EB0201"/>
    <w:rsid w:val="39535986"/>
    <w:rsid w:val="395969E0"/>
    <w:rsid w:val="396209BE"/>
    <w:rsid w:val="396A1B0A"/>
    <w:rsid w:val="39735D92"/>
    <w:rsid w:val="398A4E1E"/>
    <w:rsid w:val="39E7088C"/>
    <w:rsid w:val="39EF5719"/>
    <w:rsid w:val="39F10A4D"/>
    <w:rsid w:val="3A395EF7"/>
    <w:rsid w:val="3A3A25D5"/>
    <w:rsid w:val="3A5B2957"/>
    <w:rsid w:val="3A66597A"/>
    <w:rsid w:val="3AD92EC2"/>
    <w:rsid w:val="3B0A071F"/>
    <w:rsid w:val="3B2A313A"/>
    <w:rsid w:val="3B3619F4"/>
    <w:rsid w:val="3B571F1E"/>
    <w:rsid w:val="3B6E61E5"/>
    <w:rsid w:val="3C33120A"/>
    <w:rsid w:val="3CA77537"/>
    <w:rsid w:val="3CAD5D5B"/>
    <w:rsid w:val="3CE43AA4"/>
    <w:rsid w:val="3D1B7841"/>
    <w:rsid w:val="3D511CBA"/>
    <w:rsid w:val="3DAF634D"/>
    <w:rsid w:val="3DBB1CD3"/>
    <w:rsid w:val="3E1B7249"/>
    <w:rsid w:val="3E345C9B"/>
    <w:rsid w:val="3E4C14B0"/>
    <w:rsid w:val="3E722984"/>
    <w:rsid w:val="3E99667A"/>
    <w:rsid w:val="3EAE79BB"/>
    <w:rsid w:val="3EB12F57"/>
    <w:rsid w:val="3F0756C1"/>
    <w:rsid w:val="3F2C02C0"/>
    <w:rsid w:val="3F3D1E37"/>
    <w:rsid w:val="3F5325DE"/>
    <w:rsid w:val="3FFB65AF"/>
    <w:rsid w:val="401D5F8A"/>
    <w:rsid w:val="404260F0"/>
    <w:rsid w:val="409D1899"/>
    <w:rsid w:val="40A717E1"/>
    <w:rsid w:val="40BB467C"/>
    <w:rsid w:val="41107784"/>
    <w:rsid w:val="413031C2"/>
    <w:rsid w:val="413E2BFF"/>
    <w:rsid w:val="41550FE1"/>
    <w:rsid w:val="41F663E6"/>
    <w:rsid w:val="42054F6D"/>
    <w:rsid w:val="4242167D"/>
    <w:rsid w:val="424F14CB"/>
    <w:rsid w:val="42CF1FC2"/>
    <w:rsid w:val="42D9318C"/>
    <w:rsid w:val="42E13C73"/>
    <w:rsid w:val="42E353A2"/>
    <w:rsid w:val="42F67B9B"/>
    <w:rsid w:val="42FC28C0"/>
    <w:rsid w:val="43245BFF"/>
    <w:rsid w:val="433B3FCA"/>
    <w:rsid w:val="433F28FB"/>
    <w:rsid w:val="43861947"/>
    <w:rsid w:val="4403389C"/>
    <w:rsid w:val="445673C6"/>
    <w:rsid w:val="446054CC"/>
    <w:rsid w:val="449B74C0"/>
    <w:rsid w:val="44CF1C6A"/>
    <w:rsid w:val="44D538A9"/>
    <w:rsid w:val="44EC7537"/>
    <w:rsid w:val="44EF4129"/>
    <w:rsid w:val="45847AB4"/>
    <w:rsid w:val="45AA5958"/>
    <w:rsid w:val="45AB1E95"/>
    <w:rsid w:val="45BD5519"/>
    <w:rsid w:val="46005088"/>
    <w:rsid w:val="4603662A"/>
    <w:rsid w:val="461C2F16"/>
    <w:rsid w:val="46244142"/>
    <w:rsid w:val="46344898"/>
    <w:rsid w:val="46504DB1"/>
    <w:rsid w:val="46517195"/>
    <w:rsid w:val="46576766"/>
    <w:rsid w:val="465A6BE7"/>
    <w:rsid w:val="46DB53F8"/>
    <w:rsid w:val="47723494"/>
    <w:rsid w:val="47835B9E"/>
    <w:rsid w:val="47B21A6D"/>
    <w:rsid w:val="47D6039E"/>
    <w:rsid w:val="47E80E5E"/>
    <w:rsid w:val="47F52457"/>
    <w:rsid w:val="47FA57C2"/>
    <w:rsid w:val="481F2CB2"/>
    <w:rsid w:val="48226AA2"/>
    <w:rsid w:val="483F4AED"/>
    <w:rsid w:val="48425B04"/>
    <w:rsid w:val="485B09F4"/>
    <w:rsid w:val="48747359"/>
    <w:rsid w:val="48AB58FF"/>
    <w:rsid w:val="48F76E2D"/>
    <w:rsid w:val="49074880"/>
    <w:rsid w:val="4979379F"/>
    <w:rsid w:val="499C4031"/>
    <w:rsid w:val="499D2254"/>
    <w:rsid w:val="49BE309C"/>
    <w:rsid w:val="49BE7938"/>
    <w:rsid w:val="49DE20D4"/>
    <w:rsid w:val="4A212EBB"/>
    <w:rsid w:val="4A453AC3"/>
    <w:rsid w:val="4A616FFC"/>
    <w:rsid w:val="4A880B64"/>
    <w:rsid w:val="4A933DB0"/>
    <w:rsid w:val="4AA56FF8"/>
    <w:rsid w:val="4AE22AC1"/>
    <w:rsid w:val="4AE27F17"/>
    <w:rsid w:val="4B020B8E"/>
    <w:rsid w:val="4B08334C"/>
    <w:rsid w:val="4B51106B"/>
    <w:rsid w:val="4B85484A"/>
    <w:rsid w:val="4B9206D0"/>
    <w:rsid w:val="4B9C4FC1"/>
    <w:rsid w:val="4BAD75D3"/>
    <w:rsid w:val="4C910FED"/>
    <w:rsid w:val="4CAC08A5"/>
    <w:rsid w:val="4CBC685E"/>
    <w:rsid w:val="4CE84CC0"/>
    <w:rsid w:val="4D1D347A"/>
    <w:rsid w:val="4D260957"/>
    <w:rsid w:val="4D402A6F"/>
    <w:rsid w:val="4D4B2667"/>
    <w:rsid w:val="4D4D3234"/>
    <w:rsid w:val="4D95071D"/>
    <w:rsid w:val="4D991753"/>
    <w:rsid w:val="4DC17512"/>
    <w:rsid w:val="4DD104B2"/>
    <w:rsid w:val="4DE677B7"/>
    <w:rsid w:val="4E132634"/>
    <w:rsid w:val="4E210D14"/>
    <w:rsid w:val="4E284BF2"/>
    <w:rsid w:val="4E447DA8"/>
    <w:rsid w:val="4EA3539A"/>
    <w:rsid w:val="4EE15E86"/>
    <w:rsid w:val="4EFB17D8"/>
    <w:rsid w:val="4F2E48C0"/>
    <w:rsid w:val="4F735535"/>
    <w:rsid w:val="4FEC5C64"/>
    <w:rsid w:val="4FF86C1A"/>
    <w:rsid w:val="4FFD1B8A"/>
    <w:rsid w:val="502F0C7B"/>
    <w:rsid w:val="503B3132"/>
    <w:rsid w:val="50975DB2"/>
    <w:rsid w:val="50AA3898"/>
    <w:rsid w:val="50AA7A9F"/>
    <w:rsid w:val="50DD5CF1"/>
    <w:rsid w:val="51107502"/>
    <w:rsid w:val="5164572A"/>
    <w:rsid w:val="51842DCD"/>
    <w:rsid w:val="51881BD7"/>
    <w:rsid w:val="518D1CB4"/>
    <w:rsid w:val="518E2838"/>
    <w:rsid w:val="51A54729"/>
    <w:rsid w:val="51CF5B49"/>
    <w:rsid w:val="51EA4722"/>
    <w:rsid w:val="5251124B"/>
    <w:rsid w:val="527B75BA"/>
    <w:rsid w:val="531864AC"/>
    <w:rsid w:val="533C25C5"/>
    <w:rsid w:val="53706A14"/>
    <w:rsid w:val="5428627B"/>
    <w:rsid w:val="545E62A3"/>
    <w:rsid w:val="54820E4F"/>
    <w:rsid w:val="54A10AFF"/>
    <w:rsid w:val="54C00044"/>
    <w:rsid w:val="54D40EC4"/>
    <w:rsid w:val="54FC5589"/>
    <w:rsid w:val="55283246"/>
    <w:rsid w:val="55335A04"/>
    <w:rsid w:val="555F06D1"/>
    <w:rsid w:val="555F6069"/>
    <w:rsid w:val="55CA1408"/>
    <w:rsid w:val="55D4583D"/>
    <w:rsid w:val="55EF5047"/>
    <w:rsid w:val="55F114A5"/>
    <w:rsid w:val="56763A3A"/>
    <w:rsid w:val="56966D74"/>
    <w:rsid w:val="570A06A0"/>
    <w:rsid w:val="571C3CBD"/>
    <w:rsid w:val="573373CE"/>
    <w:rsid w:val="574046DF"/>
    <w:rsid w:val="575F7BC5"/>
    <w:rsid w:val="57601206"/>
    <w:rsid w:val="57834CD1"/>
    <w:rsid w:val="57CC372E"/>
    <w:rsid w:val="58174707"/>
    <w:rsid w:val="5834132A"/>
    <w:rsid w:val="5872068E"/>
    <w:rsid w:val="588D756D"/>
    <w:rsid w:val="589C469E"/>
    <w:rsid w:val="589D7A64"/>
    <w:rsid w:val="58DE31A5"/>
    <w:rsid w:val="59277DD7"/>
    <w:rsid w:val="594377A2"/>
    <w:rsid w:val="596E193A"/>
    <w:rsid w:val="59893F9C"/>
    <w:rsid w:val="59960459"/>
    <w:rsid w:val="59C11A4F"/>
    <w:rsid w:val="59C8374F"/>
    <w:rsid w:val="59E459AF"/>
    <w:rsid w:val="5A4E3C7A"/>
    <w:rsid w:val="5A724670"/>
    <w:rsid w:val="5A863D4B"/>
    <w:rsid w:val="5AB06E1B"/>
    <w:rsid w:val="5AC93FFE"/>
    <w:rsid w:val="5AE67A84"/>
    <w:rsid w:val="5B120F92"/>
    <w:rsid w:val="5B3A090F"/>
    <w:rsid w:val="5B4F5526"/>
    <w:rsid w:val="5B500441"/>
    <w:rsid w:val="5BB2279A"/>
    <w:rsid w:val="5BEA014C"/>
    <w:rsid w:val="5CBC5D8D"/>
    <w:rsid w:val="5D0D6299"/>
    <w:rsid w:val="5D2F5EBF"/>
    <w:rsid w:val="5D8001AF"/>
    <w:rsid w:val="5D962C9F"/>
    <w:rsid w:val="5DC37970"/>
    <w:rsid w:val="5DF54841"/>
    <w:rsid w:val="5DFC55FA"/>
    <w:rsid w:val="5E4001E4"/>
    <w:rsid w:val="5E581A82"/>
    <w:rsid w:val="5E791C84"/>
    <w:rsid w:val="5EBC4AD9"/>
    <w:rsid w:val="5ECA5C2C"/>
    <w:rsid w:val="5F080F08"/>
    <w:rsid w:val="5F0861C9"/>
    <w:rsid w:val="5F5C0370"/>
    <w:rsid w:val="5F947815"/>
    <w:rsid w:val="5FAA6776"/>
    <w:rsid w:val="5FD43070"/>
    <w:rsid w:val="5FF61773"/>
    <w:rsid w:val="5FFB38C3"/>
    <w:rsid w:val="603E324E"/>
    <w:rsid w:val="60AB7C47"/>
    <w:rsid w:val="60F04D4B"/>
    <w:rsid w:val="61014878"/>
    <w:rsid w:val="611A03E5"/>
    <w:rsid w:val="611C06D9"/>
    <w:rsid w:val="611D5983"/>
    <w:rsid w:val="616A508D"/>
    <w:rsid w:val="618B515E"/>
    <w:rsid w:val="620F065B"/>
    <w:rsid w:val="621A03B0"/>
    <w:rsid w:val="62222BB5"/>
    <w:rsid w:val="62880756"/>
    <w:rsid w:val="62B33B28"/>
    <w:rsid w:val="63026242"/>
    <w:rsid w:val="63155CFB"/>
    <w:rsid w:val="63586D08"/>
    <w:rsid w:val="637C0EDD"/>
    <w:rsid w:val="63982478"/>
    <w:rsid w:val="63CD07CD"/>
    <w:rsid w:val="63D470BF"/>
    <w:rsid w:val="63E90308"/>
    <w:rsid w:val="641D3C07"/>
    <w:rsid w:val="641E7BAF"/>
    <w:rsid w:val="645E6F12"/>
    <w:rsid w:val="64C33B1C"/>
    <w:rsid w:val="64F20B23"/>
    <w:rsid w:val="6516040F"/>
    <w:rsid w:val="65542170"/>
    <w:rsid w:val="65C32A8C"/>
    <w:rsid w:val="6650588B"/>
    <w:rsid w:val="66726058"/>
    <w:rsid w:val="66AB68D9"/>
    <w:rsid w:val="66B10C40"/>
    <w:rsid w:val="66D63FAC"/>
    <w:rsid w:val="6707754C"/>
    <w:rsid w:val="67210F82"/>
    <w:rsid w:val="67556ABC"/>
    <w:rsid w:val="676B0BD1"/>
    <w:rsid w:val="679135B5"/>
    <w:rsid w:val="6837615C"/>
    <w:rsid w:val="684B2223"/>
    <w:rsid w:val="688C3006"/>
    <w:rsid w:val="68AE20FA"/>
    <w:rsid w:val="68B3546B"/>
    <w:rsid w:val="68CC217C"/>
    <w:rsid w:val="68EB116E"/>
    <w:rsid w:val="693F1926"/>
    <w:rsid w:val="697E5BE0"/>
    <w:rsid w:val="698F2783"/>
    <w:rsid w:val="69913008"/>
    <w:rsid w:val="69D2519E"/>
    <w:rsid w:val="69D26641"/>
    <w:rsid w:val="6A053307"/>
    <w:rsid w:val="6A1B7395"/>
    <w:rsid w:val="6A6A53D2"/>
    <w:rsid w:val="6AA1611C"/>
    <w:rsid w:val="6AD44E66"/>
    <w:rsid w:val="6B2751E1"/>
    <w:rsid w:val="6BB31E60"/>
    <w:rsid w:val="6BC937C2"/>
    <w:rsid w:val="6BF853C8"/>
    <w:rsid w:val="6C014F84"/>
    <w:rsid w:val="6C1E73C4"/>
    <w:rsid w:val="6C4555CC"/>
    <w:rsid w:val="6CBC340C"/>
    <w:rsid w:val="6CCE2C6E"/>
    <w:rsid w:val="6CDC77A4"/>
    <w:rsid w:val="6CDD3301"/>
    <w:rsid w:val="6D0429D2"/>
    <w:rsid w:val="6D0B5A42"/>
    <w:rsid w:val="6D1D6B77"/>
    <w:rsid w:val="6D51551E"/>
    <w:rsid w:val="6DF857B2"/>
    <w:rsid w:val="6E48242F"/>
    <w:rsid w:val="6E736081"/>
    <w:rsid w:val="6E832FB2"/>
    <w:rsid w:val="6E8B05B2"/>
    <w:rsid w:val="6E8F3568"/>
    <w:rsid w:val="6E9007FB"/>
    <w:rsid w:val="6E9B6493"/>
    <w:rsid w:val="6F156D8E"/>
    <w:rsid w:val="6F203654"/>
    <w:rsid w:val="6F4361E8"/>
    <w:rsid w:val="6F626290"/>
    <w:rsid w:val="6F664957"/>
    <w:rsid w:val="6F716896"/>
    <w:rsid w:val="6F826365"/>
    <w:rsid w:val="6F910CFD"/>
    <w:rsid w:val="6FE27EC3"/>
    <w:rsid w:val="6FF22022"/>
    <w:rsid w:val="700F46AA"/>
    <w:rsid w:val="702C5146"/>
    <w:rsid w:val="70621B9B"/>
    <w:rsid w:val="70FB6592"/>
    <w:rsid w:val="70FC5012"/>
    <w:rsid w:val="710E4668"/>
    <w:rsid w:val="711E0269"/>
    <w:rsid w:val="714F1499"/>
    <w:rsid w:val="71602CB2"/>
    <w:rsid w:val="718B362E"/>
    <w:rsid w:val="71E1705C"/>
    <w:rsid w:val="71E73376"/>
    <w:rsid w:val="71FC2343"/>
    <w:rsid w:val="71FE5C6E"/>
    <w:rsid w:val="720E3B7B"/>
    <w:rsid w:val="72777B63"/>
    <w:rsid w:val="727C2741"/>
    <w:rsid w:val="72975100"/>
    <w:rsid w:val="72AE6AEB"/>
    <w:rsid w:val="732B45A7"/>
    <w:rsid w:val="73741E4D"/>
    <w:rsid w:val="73F6543A"/>
    <w:rsid w:val="74157950"/>
    <w:rsid w:val="746F55C2"/>
    <w:rsid w:val="748D232C"/>
    <w:rsid w:val="74C34B2D"/>
    <w:rsid w:val="74C86BB0"/>
    <w:rsid w:val="74CD2E50"/>
    <w:rsid w:val="74E125EC"/>
    <w:rsid w:val="750D3253"/>
    <w:rsid w:val="75362165"/>
    <w:rsid w:val="75AF4824"/>
    <w:rsid w:val="75BB1634"/>
    <w:rsid w:val="76264D00"/>
    <w:rsid w:val="763362C2"/>
    <w:rsid w:val="764D251F"/>
    <w:rsid w:val="76645F66"/>
    <w:rsid w:val="76916279"/>
    <w:rsid w:val="76B15FD5"/>
    <w:rsid w:val="76B46BDB"/>
    <w:rsid w:val="76EB5CE0"/>
    <w:rsid w:val="76F81E62"/>
    <w:rsid w:val="77084879"/>
    <w:rsid w:val="777A78FC"/>
    <w:rsid w:val="777B0E49"/>
    <w:rsid w:val="77BA117E"/>
    <w:rsid w:val="77FC00F2"/>
    <w:rsid w:val="7835717F"/>
    <w:rsid w:val="78387FE8"/>
    <w:rsid w:val="78950232"/>
    <w:rsid w:val="789C50CD"/>
    <w:rsid w:val="78BC6EB7"/>
    <w:rsid w:val="78BE2565"/>
    <w:rsid w:val="78EC4051"/>
    <w:rsid w:val="7951694A"/>
    <w:rsid w:val="79B068D1"/>
    <w:rsid w:val="79F714DD"/>
    <w:rsid w:val="7A3D473E"/>
    <w:rsid w:val="7A5A71E3"/>
    <w:rsid w:val="7AD429E3"/>
    <w:rsid w:val="7B997BA1"/>
    <w:rsid w:val="7BDE327B"/>
    <w:rsid w:val="7C0D07BD"/>
    <w:rsid w:val="7C1727BB"/>
    <w:rsid w:val="7C9907DF"/>
    <w:rsid w:val="7CF16173"/>
    <w:rsid w:val="7D27053E"/>
    <w:rsid w:val="7D432882"/>
    <w:rsid w:val="7DB575CA"/>
    <w:rsid w:val="7DC437E0"/>
    <w:rsid w:val="7DCC19BB"/>
    <w:rsid w:val="7DCD7B09"/>
    <w:rsid w:val="7E2423E3"/>
    <w:rsid w:val="7E2A5EC0"/>
    <w:rsid w:val="7E561E9D"/>
    <w:rsid w:val="7E676FDD"/>
    <w:rsid w:val="7E8E2769"/>
    <w:rsid w:val="7EAA1C7A"/>
    <w:rsid w:val="7EB13093"/>
    <w:rsid w:val="7EDC7096"/>
    <w:rsid w:val="7F543339"/>
    <w:rsid w:val="7F8E5EA4"/>
    <w:rsid w:val="7FE67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ind w:firstLine="643" w:firstLineChars="200"/>
    </w:pPr>
    <w:rPr>
      <w:rFonts w:ascii="Times New Roman" w:hAnsi="Times New Roman" w:eastAsia="宋体" w:cstheme="minorBidi"/>
      <w:kern w:val="2"/>
      <w:sz w:val="28"/>
      <w:szCs w:val="24"/>
      <w:lang w:val="en-US" w:eastAsia="zh-CN" w:bidi="ar-SA"/>
    </w:rPr>
  </w:style>
  <w:style w:type="paragraph" w:styleId="5">
    <w:name w:val="heading 1"/>
    <w:basedOn w:val="1"/>
    <w:next w:val="1"/>
    <w:link w:val="27"/>
    <w:qFormat/>
    <w:uiPriority w:val="0"/>
    <w:pPr>
      <w:keepNext/>
      <w:keepLines/>
      <w:numPr>
        <w:ilvl w:val="0"/>
        <w:numId w:val="1"/>
      </w:numPr>
      <w:autoSpaceDN w:val="0"/>
      <w:adjustRightInd/>
      <w:snapToGrid/>
      <w:spacing w:before="50" w:beforeLines="50" w:after="50" w:afterLines="50"/>
      <w:ind w:left="0" w:firstLine="0" w:firstLineChars="0"/>
      <w:jc w:val="center"/>
      <w:textAlignment w:val="top"/>
      <w:outlineLvl w:val="0"/>
    </w:pPr>
    <w:rPr>
      <w:rFonts w:cs="仿宋"/>
      <w:b/>
      <w:bCs/>
      <w:kern w:val="44"/>
      <w:sz w:val="32"/>
      <w:szCs w:val="32"/>
    </w:rPr>
  </w:style>
  <w:style w:type="paragraph" w:styleId="6">
    <w:name w:val="heading 2"/>
    <w:basedOn w:val="1"/>
    <w:next w:val="1"/>
    <w:link w:val="28"/>
    <w:unhideWhenUsed/>
    <w:qFormat/>
    <w:uiPriority w:val="0"/>
    <w:pPr>
      <w:numPr>
        <w:ilvl w:val="1"/>
        <w:numId w:val="1"/>
      </w:numPr>
      <w:tabs>
        <w:tab w:val="left" w:pos="0"/>
      </w:tabs>
      <w:ind w:left="0" w:firstLine="0" w:firstLineChars="0"/>
      <w:jc w:val="left"/>
      <w:outlineLvl w:val="1"/>
    </w:pPr>
    <w:rPr>
      <w:rFonts w:ascii="Times New Roman" w:hAnsi="Times New Roman"/>
      <w:b/>
      <w:color w:val="000000"/>
      <w:sz w:val="30"/>
    </w:rPr>
  </w:style>
  <w:style w:type="paragraph" w:styleId="7">
    <w:name w:val="heading 3"/>
    <w:basedOn w:val="1"/>
    <w:next w:val="1"/>
    <w:link w:val="30"/>
    <w:unhideWhenUsed/>
    <w:qFormat/>
    <w:uiPriority w:val="0"/>
    <w:pPr>
      <w:keepNext/>
      <w:keepLines/>
      <w:numPr>
        <w:ilvl w:val="2"/>
        <w:numId w:val="1"/>
      </w:numPr>
      <w:ind w:firstLine="0" w:firstLineChars="0"/>
      <w:outlineLvl w:val="2"/>
    </w:pPr>
    <w:rPr>
      <w:rFonts w:eastAsia="宋体" w:cs="微软雅黑"/>
      <w:b/>
      <w:szCs w:val="28"/>
    </w:rPr>
  </w:style>
  <w:style w:type="paragraph" w:styleId="8">
    <w:name w:val="heading 4"/>
    <w:basedOn w:val="1"/>
    <w:next w:val="1"/>
    <w:link w:val="29"/>
    <w:unhideWhenUsed/>
    <w:qFormat/>
    <w:uiPriority w:val="0"/>
    <w:pPr>
      <w:keepNext/>
      <w:keepLines/>
      <w:numPr>
        <w:ilvl w:val="3"/>
        <w:numId w:val="1"/>
      </w:numPr>
      <w:spacing w:line="360" w:lineRule="auto"/>
      <w:ind w:firstLine="0" w:firstLineChars="0"/>
      <w:outlineLvl w:val="3"/>
    </w:pPr>
    <w:rPr>
      <w:rFonts w:eastAsia="宋体" w:cstheme="majorBidi"/>
      <w:b/>
      <w:bCs/>
      <w:szCs w:val="28"/>
      <w:lang w:val="zh-CN"/>
    </w:rPr>
  </w:style>
  <w:style w:type="paragraph" w:styleId="9">
    <w:name w:val="heading 5"/>
    <w:basedOn w:val="1"/>
    <w:next w:val="1"/>
    <w:unhideWhenUsed/>
    <w:qFormat/>
    <w:uiPriority w:val="0"/>
    <w:pPr>
      <w:keepNext/>
      <w:keepLines/>
      <w:numPr>
        <w:ilvl w:val="4"/>
        <w:numId w:val="1"/>
      </w:numPr>
      <w:spacing w:beforeLines="0" w:beforeAutospacing="0" w:afterLines="0" w:afterAutospacing="0" w:line="360" w:lineRule="auto"/>
      <w:ind w:left="0" w:firstLine="0" w:firstLineChars="0"/>
      <w:outlineLvl w:val="4"/>
    </w:pPr>
    <w:rPr>
      <w:rFonts w:ascii="Calibri" w:hAnsi="Calibri" w:cs="Times New Roman"/>
      <w:b/>
    </w:rPr>
  </w:style>
  <w:style w:type="paragraph" w:styleId="10">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0" w:firstLine="420" w:firstLineChars="0"/>
      <w:outlineLvl w:val="5"/>
    </w:pPr>
    <w:rPr>
      <w:rFonts w:ascii="Arial" w:hAnsi="Arial" w:eastAsia="黑体"/>
      <w:b/>
      <w:sz w:val="24"/>
    </w:rPr>
  </w:style>
  <w:style w:type="paragraph" w:styleId="11">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0" w:firstLine="839" w:firstLineChars="0"/>
      <w:outlineLvl w:val="6"/>
    </w:pPr>
    <w:rPr>
      <w:b/>
      <w:sz w:val="24"/>
    </w:rPr>
  </w:style>
  <w:style w:type="paragraph" w:styleId="12">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0" w:firstLine="0" w:firstLineChars="0"/>
      <w:outlineLvl w:val="7"/>
    </w:pPr>
    <w:rPr>
      <w:rFonts w:ascii="Arial" w:hAnsi="Arial" w:eastAsia="黑体"/>
      <w:sz w:val="24"/>
    </w:rPr>
  </w:style>
  <w:style w:type="paragraph" w:styleId="13">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0" w:firstLine="0" w:firstLineChars="0"/>
      <w:outlineLvl w:val="8"/>
    </w:pPr>
    <w:rPr>
      <w:rFonts w:ascii="Arial" w:hAnsi="Arial" w:eastAsia="黑体"/>
      <w:sz w:val="21"/>
    </w:rPr>
  </w:style>
  <w:style w:type="character" w:default="1" w:styleId="26">
    <w:name w:val="Default Paragraph Font"/>
    <w:semiHidden/>
    <w:unhideWhenUsed/>
    <w:qFormat/>
    <w:uiPriority w:val="1"/>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next w:val="2"/>
    <w:qFormat/>
    <w:uiPriority w:val="0"/>
    <w:pPr>
      <w:spacing w:before="50" w:beforeLines="50" w:after="50" w:afterLines="50"/>
      <w:ind w:firstLine="643" w:firstLineChars="200"/>
      <w:jc w:val="left"/>
    </w:pPr>
    <w:rPr>
      <w:rFonts w:ascii="Times New Roman" w:hAnsi="Times New Roman" w:eastAsia="宋体"/>
      <w:sz w:val="28"/>
    </w:rPr>
  </w:style>
  <w:style w:type="paragraph" w:styleId="4">
    <w:name w:val="toc 6"/>
    <w:basedOn w:val="1"/>
    <w:next w:val="1"/>
    <w:qFormat/>
    <w:uiPriority w:val="0"/>
    <w:pPr>
      <w:ind w:left="1680" w:leftChars="600" w:firstLine="0" w:firstLineChars="0"/>
    </w:pPr>
    <w:rPr>
      <w:rFonts w:ascii="Times New Roman" w:hAnsi="Times New Roman" w:eastAsia="微软雅黑"/>
      <w:sz w:val="28"/>
    </w:rPr>
  </w:style>
  <w:style w:type="paragraph" w:styleId="14">
    <w:name w:val="annotation text"/>
    <w:basedOn w:val="1"/>
    <w:qFormat/>
    <w:uiPriority w:val="0"/>
    <w:pPr>
      <w:jc w:val="left"/>
    </w:pPr>
  </w:style>
  <w:style w:type="paragraph" w:styleId="15">
    <w:name w:val="toc 5"/>
    <w:basedOn w:val="1"/>
    <w:next w:val="1"/>
    <w:qFormat/>
    <w:uiPriority w:val="0"/>
    <w:pPr>
      <w:ind w:left="1920" w:leftChars="800" w:firstLine="643" w:firstLineChars="200"/>
    </w:pPr>
    <w:rPr>
      <w:rFonts w:ascii="Times New Roman" w:hAnsi="Times New Roman" w:eastAsia="仿宋"/>
      <w:sz w:val="28"/>
    </w:rPr>
  </w:style>
  <w:style w:type="paragraph" w:styleId="16">
    <w:name w:val="toc 3"/>
    <w:basedOn w:val="1"/>
    <w:next w:val="1"/>
    <w:qFormat/>
    <w:uiPriority w:val="0"/>
    <w:pPr>
      <w:spacing w:line="360" w:lineRule="auto"/>
      <w:ind w:left="400" w:leftChars="400"/>
    </w:pPr>
    <w:rPr>
      <w:rFonts w:ascii="Times New Roman" w:hAnsi="Times New Roman" w:cs="Times New Roman"/>
      <w:szCs w:val="22"/>
    </w:rPr>
  </w:style>
  <w:style w:type="paragraph" w:styleId="17">
    <w:name w:val="footer"/>
    <w:basedOn w:val="1"/>
    <w:unhideWhenUsed/>
    <w:qFormat/>
    <w:uiPriority w:val="99"/>
    <w:pPr>
      <w:tabs>
        <w:tab w:val="center" w:pos="4153"/>
        <w:tab w:val="right" w:pos="8306"/>
      </w:tabs>
      <w:snapToGrid w:val="0"/>
    </w:pPr>
    <w:rPr>
      <w:sz w:val="18"/>
      <w:szCs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0"/>
    <w:pPr>
      <w:tabs>
        <w:tab w:val="left" w:pos="840"/>
        <w:tab w:val="left" w:pos="1276"/>
        <w:tab w:val="right" w:leader="dot" w:pos="8777"/>
      </w:tabs>
      <w:spacing w:line="360" w:lineRule="auto"/>
    </w:pPr>
    <w:rPr>
      <w:rFonts w:cs="微软雅黑"/>
      <w:b/>
      <w:bCs/>
      <w:kern w:val="44"/>
      <w:sz w:val="28"/>
      <w:szCs w:val="28"/>
      <w:lang w:val="zh-CN"/>
    </w:rPr>
  </w:style>
  <w:style w:type="paragraph" w:styleId="20">
    <w:name w:val="toc 4"/>
    <w:basedOn w:val="1"/>
    <w:next w:val="1"/>
    <w:qFormat/>
    <w:uiPriority w:val="0"/>
    <w:pPr>
      <w:spacing w:line="360" w:lineRule="auto"/>
      <w:ind w:left="600" w:leftChars="600"/>
    </w:pPr>
    <w:rPr>
      <w:rFonts w:ascii="Times New Roman" w:hAnsi="Times New Roman" w:cs="Times New Roman"/>
      <w:szCs w:val="22"/>
    </w:rPr>
  </w:style>
  <w:style w:type="paragraph" w:styleId="21">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22">
    <w:name w:val="toc 2"/>
    <w:basedOn w:val="1"/>
    <w:next w:val="1"/>
    <w:qFormat/>
    <w:uiPriority w:val="0"/>
    <w:pPr>
      <w:spacing w:line="360" w:lineRule="auto"/>
      <w:ind w:left="200" w:leftChars="200"/>
    </w:pPr>
    <w:rPr>
      <w:rFonts w:cs="Times New Roman"/>
      <w:sz w:val="28"/>
      <w:szCs w:val="22"/>
    </w:rPr>
  </w:style>
  <w:style w:type="paragraph" w:styleId="23">
    <w:name w:val="Title"/>
    <w:basedOn w:val="1"/>
    <w:next w:val="1"/>
    <w:qFormat/>
    <w:uiPriority w:val="0"/>
    <w:pPr>
      <w:spacing w:before="240" w:after="60"/>
      <w:jc w:val="center"/>
      <w:outlineLvl w:val="0"/>
    </w:pPr>
    <w:rPr>
      <w:rFonts w:ascii="Cambria" w:hAnsi="Cambria" w:cs="Times New Roman"/>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标题 1 Char"/>
    <w:basedOn w:val="26"/>
    <w:link w:val="5"/>
    <w:qFormat/>
    <w:uiPriority w:val="0"/>
    <w:rPr>
      <w:rFonts w:ascii="Times New Roman" w:hAnsi="Times New Roman" w:eastAsia="宋体" w:cs="Times New Roman"/>
      <w:b/>
      <w:bCs/>
      <w:kern w:val="44"/>
      <w:sz w:val="36"/>
      <w:szCs w:val="44"/>
      <w:lang w:val="zh-CN"/>
    </w:rPr>
  </w:style>
  <w:style w:type="character" w:customStyle="1" w:styleId="28">
    <w:name w:val="标题 2 Char"/>
    <w:basedOn w:val="26"/>
    <w:link w:val="6"/>
    <w:qFormat/>
    <w:uiPriority w:val="9"/>
    <w:rPr>
      <w:rFonts w:ascii="Times New Roman" w:hAnsi="Times New Roman" w:eastAsia="仿宋" w:cs="仿宋"/>
      <w:b/>
      <w:bCs/>
      <w:color w:val="000000"/>
      <w:kern w:val="44"/>
      <w:sz w:val="30"/>
      <w:szCs w:val="32"/>
    </w:rPr>
  </w:style>
  <w:style w:type="character" w:customStyle="1" w:styleId="29">
    <w:name w:val="标题 4 Char"/>
    <w:basedOn w:val="26"/>
    <w:link w:val="8"/>
    <w:qFormat/>
    <w:uiPriority w:val="9"/>
    <w:rPr>
      <w:rFonts w:ascii="Times New Roman" w:hAnsi="Times New Roman" w:eastAsia="宋体" w:cs="Times New Roman"/>
      <w:b/>
      <w:bCs/>
      <w:iCs/>
      <w:color w:val="auto"/>
      <w:sz w:val="24"/>
      <w:szCs w:val="22"/>
      <w:lang w:val="zh-CN"/>
    </w:rPr>
  </w:style>
  <w:style w:type="character" w:customStyle="1" w:styleId="30">
    <w:name w:val="标题 3 Char"/>
    <w:basedOn w:val="26"/>
    <w:link w:val="7"/>
    <w:qFormat/>
    <w:uiPriority w:val="0"/>
    <w:rPr>
      <w:rFonts w:ascii="Times New Roman" w:hAnsi="Times New Roman" w:eastAsia="宋体"/>
      <w:b/>
      <w:bCs/>
      <w:sz w:val="24"/>
      <w:szCs w:val="32"/>
    </w:rPr>
  </w:style>
  <w:style w:type="paragraph" w:customStyle="1" w:styleId="31">
    <w:name w:val="表格"/>
    <w:basedOn w:val="1"/>
    <w:next w:val="1"/>
    <w:qFormat/>
    <w:uiPriority w:val="0"/>
    <w:pPr>
      <w:widowControl w:val="0"/>
      <w:adjustRightInd/>
      <w:snapToGrid/>
      <w:spacing w:line="360" w:lineRule="auto"/>
      <w:ind w:firstLine="0" w:firstLineChars="0"/>
      <w:jc w:val="center"/>
    </w:pPr>
    <w:rPr>
      <w:rFonts w:cs="Times New Roman"/>
      <w:sz w:val="24"/>
    </w:rPr>
  </w:style>
  <w:style w:type="character" w:customStyle="1" w:styleId="32">
    <w:name w:val="font01"/>
    <w:basedOn w:val="26"/>
    <w:qFormat/>
    <w:uiPriority w:val="0"/>
    <w:rPr>
      <w:rFonts w:hint="eastAsia" w:ascii="宋体" w:hAnsi="宋体" w:eastAsia="宋体" w:cs="宋体"/>
      <w:color w:val="000000"/>
      <w:sz w:val="22"/>
      <w:szCs w:val="22"/>
      <w:u w:val="none"/>
    </w:rPr>
  </w:style>
  <w:style w:type="character" w:customStyle="1" w:styleId="33">
    <w:name w:val="font11"/>
    <w:basedOn w:val="26"/>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1502</Words>
  <Characters>1579</Characters>
  <Lines>0</Lines>
  <Paragraphs>0</Paragraphs>
  <TotalTime>31</TotalTime>
  <ScaleCrop>false</ScaleCrop>
  <LinksUpToDate>false</LinksUpToDate>
  <CharactersWithSpaces>1581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2020-08-18T06:25:00Z</dcterms:created>
  <dc:creator>admin</dc:creator>
  <cp:lastModifiedBy>南汝晨</cp:lastModifiedBy>
  <cp:lastPrinted>2022-06-23T09:04:00Z</cp:lastPrinted>
  <dcterms:modified xsi:type="dcterms:W3CDTF">2022-06-27T01:19:49Z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098B3A0B0FD44EE49FBFE99AB3D29F8B</vt:lpwstr>
  </property>
</Properties>
</file>